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сновний текст A"/>
        <w:widowControl w:val="0"/>
        <w:suppressAutoHyphens w:val="1"/>
        <w:rPr>
          <w:b w:val="1"/>
          <w:bCs w:val="1"/>
          <w:kern w:val="2"/>
        </w:rPr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425599</wp:posOffset>
            </wp:positionH>
            <wp:positionV relativeFrom="page">
              <wp:posOffset>0</wp:posOffset>
            </wp:positionV>
            <wp:extent cx="6877122" cy="9726653"/>
            <wp:effectExtent l="0" t="0" r="0" b="0"/>
            <wp:wrapTopAndBottom distT="152400" distB="152400"/>
            <wp:docPr id="1073741825" name="officeArt object" descr="10000046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1000004619.jpg" descr="1000004619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122" cy="97266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kern w:val="2"/>
          <w:rtl w:val="0"/>
          <w:lang w:val="ru-RU"/>
        </w:rPr>
        <w:t>Зв</w:t>
      </w:r>
      <w:r>
        <w:rPr>
          <w:b w:val="1"/>
          <w:bCs w:val="1"/>
          <w:kern w:val="2"/>
          <w:rtl w:val="0"/>
          <w:lang w:val="ru-RU"/>
        </w:rPr>
        <w:t>`</w:t>
      </w:r>
      <w:r>
        <w:rPr>
          <w:b w:val="1"/>
          <w:bCs w:val="1"/>
          <w:kern w:val="2"/>
          <w:rtl w:val="0"/>
          <w:lang w:val="ru-RU"/>
        </w:rPr>
        <w:t xml:space="preserve">язок з викладачем </w:t>
      </w:r>
      <w:r>
        <w:rPr>
          <w:b w:val="1"/>
          <w:bCs w:val="1"/>
          <w:kern w:val="2"/>
          <w:rtl w:val="0"/>
          <w:lang w:val="ru-RU"/>
        </w:rPr>
        <w:t>(</w:t>
      </w:r>
      <w:r>
        <w:rPr>
          <w:b w:val="1"/>
          <w:bCs w:val="1"/>
          <w:kern w:val="2"/>
          <w:rtl w:val="0"/>
          <w:lang w:val="ru-RU"/>
        </w:rPr>
        <w:t>викладачами</w:t>
      </w:r>
      <w:r>
        <w:rPr>
          <w:b w:val="1"/>
          <w:bCs w:val="1"/>
          <w:kern w:val="2"/>
          <w:rtl w:val="0"/>
          <w:lang w:val="ru-RU"/>
        </w:rPr>
        <w:t xml:space="preserve">): </w:t>
      </w:r>
    </w:p>
    <w:p>
      <w:pPr>
        <w:pStyle w:val="Основний текст A"/>
        <w:widowControl w:val="0"/>
        <w:suppressAutoHyphens w:val="1"/>
        <w:rPr>
          <w:b w:val="1"/>
          <w:bCs w:val="1"/>
          <w:kern w:val="2"/>
          <w:lang w:val="en-US"/>
        </w:rPr>
      </w:pPr>
      <w:r>
        <w:rPr>
          <w:b w:val="1"/>
          <w:bCs w:val="1"/>
          <w:kern w:val="2"/>
          <w:rtl w:val="0"/>
          <w:lang w:val="en-US"/>
        </w:rPr>
        <w:t>E-mail:</w:t>
      </w:r>
      <w:r>
        <w:rPr>
          <w:kern w:val="2"/>
          <w:rtl w:val="0"/>
          <w:lang w:val="en-US"/>
        </w:rPr>
        <w:t xml:space="preserve"> kostyuk_y85@ukr.net</w:t>
      </w:r>
    </w:p>
    <w:p>
      <w:pPr>
        <w:pStyle w:val="Основний текст A"/>
        <w:widowControl w:val="0"/>
        <w:suppressAutoHyphens w:val="1"/>
        <w:rPr>
          <w:kern w:val="2"/>
        </w:rPr>
      </w:pPr>
      <w:r>
        <w:rPr>
          <w:b w:val="1"/>
          <w:bCs w:val="1"/>
          <w:kern w:val="2"/>
          <w:rtl w:val="0"/>
          <w:lang w:val="ru-RU"/>
        </w:rPr>
        <w:t>Сезн ЗНУ повідомлення</w:t>
      </w:r>
      <w:r>
        <w:rPr>
          <w:b w:val="1"/>
          <w:bCs w:val="1"/>
          <w:kern w:val="2"/>
          <w:rtl w:val="0"/>
          <w:lang w:val="ru-RU"/>
        </w:rPr>
        <w:t>: https://moodle.znu.edu.ua/user/index.php?id=</w:t>
      </w:r>
      <w:commentRangeStart w:id="0"/>
      <w:r>
        <w:rPr>
          <w:b w:val="1"/>
          <w:bCs w:val="1"/>
          <w:kern w:val="2"/>
          <w:rtl w:val="0"/>
          <w:lang w:val="ru-RU"/>
        </w:rPr>
        <w:t>10629</w:t>
      </w:r>
      <w:commentRangeEnd w:id="0"/>
      <w:r>
        <w:commentReference w:id="0"/>
      </w:r>
    </w:p>
    <w:p>
      <w:pPr>
        <w:pStyle w:val="Основний текст A"/>
        <w:widowControl w:val="0"/>
        <w:suppressAutoHyphens w:val="1"/>
        <w:rPr>
          <w:kern w:val="2"/>
        </w:rPr>
      </w:pPr>
      <w:r>
        <w:rPr>
          <w:b w:val="1"/>
          <w:bCs w:val="1"/>
          <w:kern w:val="2"/>
          <w:rtl w:val="0"/>
          <w:lang w:val="ru-RU"/>
        </w:rPr>
        <w:t>Телефон</w:t>
      </w:r>
      <w:r>
        <w:rPr>
          <w:b w:val="1"/>
          <w:bCs w:val="1"/>
          <w:kern w:val="2"/>
          <w:rtl w:val="0"/>
          <w:lang w:val="ru-RU"/>
        </w:rPr>
        <w:t xml:space="preserve">: </w:t>
      </w:r>
      <w:r>
        <w:rPr>
          <w:kern w:val="2"/>
          <w:rtl w:val="0"/>
          <w:lang w:val="ru-RU"/>
        </w:rPr>
        <w:t>(061) 289-12-24 (</w:t>
      </w:r>
      <w:r>
        <w:rPr>
          <w:kern w:val="2"/>
          <w:rtl w:val="0"/>
          <w:lang w:val="ru-RU"/>
        </w:rPr>
        <w:t>кафедра</w:t>
      </w:r>
      <w:r>
        <w:rPr>
          <w:kern w:val="2"/>
          <w:rtl w:val="0"/>
          <w:lang w:val="ru-RU"/>
        </w:rPr>
        <w:t>)</w:t>
      </w:r>
    </w:p>
    <w:p>
      <w:pPr>
        <w:pStyle w:val="Основний текст A"/>
        <w:widowControl w:val="0"/>
        <w:suppressAutoHyphens w:val="1"/>
        <w:rPr>
          <w:i w:val="1"/>
          <w:iCs w:val="1"/>
          <w:kern w:val="2"/>
          <w:sz w:val="22"/>
          <w:szCs w:val="22"/>
        </w:rPr>
      </w:pPr>
      <w:r>
        <w:rPr>
          <w:b w:val="1"/>
          <w:bCs w:val="1"/>
          <w:kern w:val="2"/>
          <w:rtl w:val="0"/>
          <w:lang w:val="ru-RU"/>
        </w:rPr>
        <w:t>Інші засоби зв’язку</w:t>
      </w:r>
      <w:r>
        <w:rPr>
          <w:b w:val="1"/>
          <w:bCs w:val="1"/>
          <w:kern w:val="2"/>
          <w:rtl w:val="0"/>
          <w:lang w:val="ru-RU"/>
        </w:rPr>
        <w:t xml:space="preserve">: </w:t>
      </w:r>
      <w:r>
        <w:rPr>
          <w:kern w:val="2"/>
          <w:rtl w:val="0"/>
          <w:lang w:val="ru-RU"/>
        </w:rPr>
        <w:t>+38096-966-83-60</w:t>
      </w:r>
    </w:p>
    <w:p>
      <w:pPr>
        <w:pStyle w:val="Основний текст A"/>
        <w:widowControl w:val="0"/>
        <w:suppressAutoHyphens w:val="1"/>
        <w:rPr>
          <w:i w:val="1"/>
          <w:iCs w:val="1"/>
          <w:kern w:val="2"/>
        </w:rPr>
      </w:pPr>
      <w:r>
        <w:rPr>
          <w:b w:val="1"/>
          <w:bCs w:val="1"/>
          <w:kern w:val="2"/>
          <w:rtl w:val="0"/>
          <w:lang w:val="ru-RU"/>
        </w:rPr>
        <w:t>Кафедра</w:t>
      </w:r>
      <w:r>
        <w:rPr>
          <w:b w:val="1"/>
          <w:bCs w:val="1"/>
          <w:kern w:val="2"/>
          <w:rtl w:val="0"/>
          <w:lang w:val="ru-RU"/>
        </w:rPr>
        <w:t xml:space="preserve">: </w:t>
      </w:r>
      <w:r>
        <w:rPr>
          <w:kern w:val="2"/>
          <w:rtl w:val="0"/>
          <w:lang w:val="ru-RU"/>
        </w:rPr>
        <w:t>журналістики</w:t>
      </w:r>
      <w:r>
        <w:rPr>
          <w:kern w:val="2"/>
          <w:rtl w:val="0"/>
          <w:lang w:val="ru-RU"/>
        </w:rPr>
        <w:t xml:space="preserve">, </w:t>
      </w:r>
      <w:r>
        <w:rPr>
          <w:kern w:val="2"/>
          <w:rtl w:val="0"/>
          <w:lang w:val="ru-RU"/>
        </w:rPr>
        <w:t>ІІ корпус</w:t>
      </w:r>
      <w:r>
        <w:rPr>
          <w:kern w:val="2"/>
          <w:rtl w:val="0"/>
          <w:lang w:val="ru-RU"/>
        </w:rPr>
        <w:t xml:space="preserve">, </w:t>
      </w:r>
      <w:r>
        <w:rPr>
          <w:kern w:val="2"/>
          <w:rtl w:val="0"/>
          <w:lang w:val="ru-RU"/>
        </w:rPr>
        <w:t>ауд</w:t>
      </w:r>
      <w:r>
        <w:rPr>
          <w:kern w:val="2"/>
          <w:rtl w:val="0"/>
          <w:lang w:val="ru-RU"/>
        </w:rPr>
        <w:t>.207</w:t>
      </w:r>
      <w:r>
        <w:rPr>
          <w:i w:val="1"/>
          <w:iCs w:val="1"/>
          <w:kern w:val="2"/>
          <w:rtl w:val="0"/>
          <w:lang w:val="ru-RU"/>
        </w:rPr>
        <w:t xml:space="preserve"> </w:t>
      </w:r>
    </w:p>
    <w:p>
      <w:pPr>
        <w:pStyle w:val="Основний текст A"/>
        <w:widowControl w:val="0"/>
        <w:suppressAutoHyphens w:val="1"/>
        <w:rPr>
          <w:b w:val="1"/>
          <w:bCs w:val="1"/>
          <w:i w:val="1"/>
          <w:iCs w:val="1"/>
          <w:kern w:val="2"/>
          <w:sz w:val="28"/>
          <w:szCs w:val="28"/>
        </w:rPr>
      </w:pPr>
    </w:p>
    <w:p>
      <w:pPr>
        <w:pStyle w:val="Основний текст A"/>
        <w:widowControl w:val="0"/>
        <w:suppressAutoHyphens w:val="1"/>
        <w:rPr>
          <w:b w:val="1"/>
          <w:bCs w:val="1"/>
          <w:kern w:val="2"/>
          <w:sz w:val="28"/>
          <w:szCs w:val="28"/>
        </w:rPr>
      </w:pPr>
    </w:p>
    <w:p>
      <w:pPr>
        <w:pStyle w:val="Типовий A"/>
        <w:suppressAutoHyphens w:val="1"/>
        <w:spacing w:before="0" w:after="120" w:line="240" w:lineRule="auto"/>
        <w:ind w:left="283" w:firstLine="0"/>
        <w:jc w:val="center"/>
        <w:rPr>
          <w:rFonts w:ascii="Times New Roman" w:cs="Times New Roman" w:hAnsi="Times New Roman" w:eastAsia="Times New Roman"/>
          <w:i w:val="1"/>
          <w:iCs w:val="1"/>
          <w:sz w:val="22"/>
          <w:szCs w:val="22"/>
          <w:lang w:val="ru-RU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 xml:space="preserve">1. 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Опис навчальної дисципліни</w:t>
      </w:r>
      <w:r>
        <w:rPr>
          <w:rFonts w:ascii="Times New Roman" w:hAnsi="Times New Roman"/>
          <w:i w:val="1"/>
          <w:iCs w:val="1"/>
          <w:sz w:val="22"/>
          <w:szCs w:val="22"/>
          <w:rtl w:val="0"/>
          <w:lang w:val="ru-RU"/>
        </w:rPr>
        <w:t xml:space="preserve"> 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ru-RU"/>
        </w:rPr>
        <w:t>Мета курсу</w:t>
      </w:r>
      <w:r>
        <w:rPr>
          <w:b w:val="1"/>
          <w:bCs w:val="1"/>
          <w:sz w:val="22"/>
          <w:szCs w:val="22"/>
          <w:rtl w:val="0"/>
          <w:lang w:val="ru-RU"/>
        </w:rPr>
        <w:t>:</w:t>
      </w:r>
      <w:r>
        <w:rPr>
          <w:sz w:val="22"/>
          <w:szCs w:val="22"/>
          <w:rtl w:val="0"/>
          <w:lang w:val="ru-RU"/>
        </w:rPr>
        <w:t xml:space="preserve"> дисципліни «Управління проєктами» полягає у формуванні у здобувачів освіти теоретичних знань та практичних навичок із методології планування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реалізації та моніторингу проєктів у медійній сфері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Курс спрямований на розвиток здатності ефективно розподіляти ресурси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керувати ризиками та організовувати командну роботу для створення успішних інформаційних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соціальних чи бізнес</w:t>
      </w:r>
      <w:r>
        <w:rPr>
          <w:sz w:val="22"/>
          <w:szCs w:val="22"/>
          <w:rtl w:val="0"/>
          <w:lang w:val="ru-RU"/>
        </w:rPr>
        <w:t>-</w:t>
      </w:r>
      <w:r>
        <w:rPr>
          <w:sz w:val="22"/>
          <w:szCs w:val="22"/>
          <w:rtl w:val="0"/>
          <w:lang w:val="ru-RU"/>
        </w:rPr>
        <w:t>продуктів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Основні завдання вивчення дисципліни «Політична журналістика»</w:t>
      </w:r>
      <w:r>
        <w:rPr>
          <w:sz w:val="22"/>
          <w:szCs w:val="22"/>
          <w:rtl w:val="0"/>
          <w:lang w:val="ru-RU"/>
        </w:rPr>
        <w:t xml:space="preserve">: 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— ознайомити студентів із принципами і основами роботи журналіста в політичній сфері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— звернути їхню увагу на особливості роботи медіа експерта при висвітленні специфічних подій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— навчити студентів професійно аналізувати заяви політиків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експертів та колег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— вказати майбутнім фахівцям на особливості спілкування з політичними лідерами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соціологами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аналітиками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— зорієнтувати студентів у виборі теми для наукового вивчення у рамках дипломного проекту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У результаті вивчення курсу студенти повинні знати</w:t>
      </w:r>
      <w:r>
        <w:rPr>
          <w:sz w:val="22"/>
          <w:szCs w:val="22"/>
          <w:rtl w:val="0"/>
          <w:lang w:val="ru-RU"/>
        </w:rPr>
        <w:t>: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сутність функціонування політичної журналістики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основні термінологічні показники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етичні та правові вимоги до роботи політичного медіа експерта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деякі кейсові ситуації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що мали місце у вітчизняній та закордонній практиці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Вміти</w:t>
      </w:r>
      <w:r>
        <w:rPr>
          <w:sz w:val="22"/>
          <w:szCs w:val="22"/>
          <w:rtl w:val="0"/>
          <w:lang w:val="ru-RU"/>
        </w:rPr>
        <w:t>: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вести перемовини з політичними діячами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професійно створювати питання для майбутніх інтерв’ю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працювати із отриманою політичною інформацією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осмислювати її та подавати на широкий загал</w:t>
      </w:r>
      <w:r>
        <w:rPr>
          <w:sz w:val="22"/>
          <w:szCs w:val="22"/>
          <w:rtl w:val="0"/>
          <w:lang w:val="ru-RU"/>
        </w:rPr>
        <w:t>;</w:t>
      </w:r>
    </w:p>
    <w:p>
      <w:pPr>
        <w:pStyle w:val="Основний текст A"/>
        <w:widowControl w:val="0"/>
        <w:spacing w:line="288" w:lineRule="auto"/>
        <w:jc w:val="both"/>
        <w:rPr>
          <w:i w:val="1"/>
          <w:iCs w:val="1"/>
          <w:sz w:val="22"/>
          <w:szCs w:val="22"/>
        </w:rPr>
      </w:pPr>
      <w:r>
        <w:rPr>
          <w:sz w:val="22"/>
          <w:szCs w:val="22"/>
          <w:rtl w:val="0"/>
          <w:lang w:val="ru-RU"/>
        </w:rPr>
        <w:t>імплементувати набуті теоретичні знання в практичну діяльність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i w:val="1"/>
          <w:iCs w:val="1"/>
          <w:sz w:val="22"/>
          <w:szCs w:val="22"/>
        </w:rPr>
      </w:pPr>
      <w:r>
        <w:rPr>
          <w:sz w:val="22"/>
          <w:szCs w:val="22"/>
          <w:rtl w:val="0"/>
          <w:lang w:val="ru-RU"/>
        </w:rPr>
        <w:t>Цей курс про те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як перетворити ідею на структурований план дій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Про життєвий цикл проєкту</w:t>
      </w:r>
      <w:r>
        <w:rPr>
          <w:sz w:val="22"/>
          <w:szCs w:val="22"/>
          <w:rtl w:val="0"/>
          <w:lang w:val="ru-RU"/>
        </w:rPr>
        <w:t xml:space="preserve">: </w:t>
      </w:r>
      <w:r>
        <w:rPr>
          <w:sz w:val="22"/>
          <w:szCs w:val="22"/>
          <w:rtl w:val="0"/>
          <w:lang w:val="ru-RU"/>
        </w:rPr>
        <w:t>від ініціації та бюджетування до фінального звітування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 xml:space="preserve">Як працювати з інструментами планування </w:t>
      </w:r>
      <w:r>
        <w:rPr>
          <w:sz w:val="22"/>
          <w:szCs w:val="22"/>
          <w:rtl w:val="0"/>
          <w:lang w:val="ru-RU"/>
        </w:rPr>
        <w:t>(</w:t>
      </w:r>
      <w:r>
        <w:rPr>
          <w:sz w:val="22"/>
          <w:szCs w:val="22"/>
          <w:rtl w:val="0"/>
          <w:lang w:val="ru-RU"/>
        </w:rPr>
        <w:t>діаграми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таск</w:t>
      </w:r>
      <w:r>
        <w:rPr>
          <w:sz w:val="22"/>
          <w:szCs w:val="22"/>
          <w:rtl w:val="0"/>
          <w:lang w:val="ru-RU"/>
        </w:rPr>
        <w:t>-</w:t>
      </w:r>
      <w:r>
        <w:rPr>
          <w:sz w:val="22"/>
          <w:szCs w:val="22"/>
          <w:rtl w:val="0"/>
          <w:lang w:val="ru-RU"/>
        </w:rPr>
        <w:t>менеджери</w:t>
      </w:r>
      <w:r>
        <w:rPr>
          <w:sz w:val="22"/>
          <w:szCs w:val="22"/>
          <w:rtl w:val="0"/>
          <w:lang w:val="ru-RU"/>
        </w:rPr>
        <w:t xml:space="preserve">), </w:t>
      </w:r>
      <w:r>
        <w:rPr>
          <w:sz w:val="22"/>
          <w:szCs w:val="22"/>
          <w:rtl w:val="0"/>
          <w:lang w:val="ru-RU"/>
        </w:rPr>
        <w:t>як формувати команду та професійно комунікувати зі стейкголдерами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Особлива увага приділяється управлінню медіапроєктами в умовах невизначеності та криз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i w:val="1"/>
          <w:iCs w:val="1"/>
          <w:sz w:val="22"/>
          <w:szCs w:val="22"/>
        </w:rPr>
      </w:pP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>Цей курс навчає студентів системному підходу до роботи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>вмінню чітко визначати пріоритети та досягати конкретних результатів у встановлені терміни та межах бюджету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Це фундаментальна база для переходу від хаотичного виконання завдань до професійного менеджменту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i w:val="1"/>
          <w:iCs w:val="1"/>
          <w:sz w:val="22"/>
          <w:szCs w:val="22"/>
        </w:rPr>
      </w:pPr>
    </w:p>
    <w:p>
      <w:pPr>
        <w:pStyle w:val="Основний текст A"/>
        <w:widowControl w:val="0"/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ru-RU"/>
        </w:rPr>
        <w:t xml:space="preserve">Вміння працювати за сучасними методологіями </w:t>
      </w:r>
      <w:r>
        <w:rPr>
          <w:sz w:val="22"/>
          <w:szCs w:val="22"/>
          <w:rtl w:val="0"/>
          <w:lang w:val="ru-RU"/>
        </w:rPr>
        <w:t>(</w:t>
      </w:r>
      <w:r>
        <w:rPr>
          <w:sz w:val="22"/>
          <w:szCs w:val="22"/>
          <w:rtl w:val="0"/>
          <w:lang w:val="en-US"/>
        </w:rPr>
        <w:t>Agile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en-US"/>
        </w:rPr>
        <w:t>Scrum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en-US"/>
        </w:rPr>
        <w:t>Waterfall</w:t>
      </w:r>
      <w:r>
        <w:rPr>
          <w:sz w:val="22"/>
          <w:szCs w:val="22"/>
          <w:rtl w:val="0"/>
          <w:lang w:val="ru-RU"/>
        </w:rPr>
        <w:t xml:space="preserve">). </w:t>
      </w:r>
      <w:r>
        <w:rPr>
          <w:sz w:val="22"/>
          <w:szCs w:val="22"/>
          <w:rtl w:val="0"/>
          <w:lang w:val="ru-RU"/>
        </w:rPr>
        <w:t xml:space="preserve">Навички використання цифрових інструментів для управління завданнями </w:t>
      </w:r>
      <w:r>
        <w:rPr>
          <w:sz w:val="22"/>
          <w:szCs w:val="22"/>
          <w:rtl w:val="0"/>
          <w:lang w:val="ru-RU"/>
        </w:rPr>
        <w:t>(</w:t>
      </w:r>
      <w:r>
        <w:rPr>
          <w:sz w:val="22"/>
          <w:szCs w:val="22"/>
          <w:rtl w:val="0"/>
          <w:lang w:val="en-US"/>
        </w:rPr>
        <w:t>Trello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en-US"/>
        </w:rPr>
        <w:t>Notion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en-US"/>
        </w:rPr>
        <w:t>Jira</w:t>
      </w:r>
      <w:r>
        <w:rPr>
          <w:sz w:val="22"/>
          <w:szCs w:val="22"/>
          <w:rtl w:val="0"/>
          <w:lang w:val="ru-RU"/>
        </w:rPr>
        <w:t xml:space="preserve">). </w:t>
      </w:r>
      <w:r>
        <w:rPr>
          <w:sz w:val="22"/>
          <w:szCs w:val="22"/>
          <w:rtl w:val="0"/>
          <w:lang w:val="ru-RU"/>
        </w:rPr>
        <w:t>Здатність до фандрейзингу та написання грантових заявок для медіа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Розуміння принципів економічної ефективності контенту та залучення інвестицій у творчі індустрії</w:t>
      </w:r>
      <w:r>
        <w:rPr>
          <w:sz w:val="22"/>
          <w:szCs w:val="22"/>
          <w:rtl w:val="0"/>
          <w:lang w:val="ru-RU"/>
        </w:rPr>
        <w:t>.</w:t>
      </w:r>
    </w:p>
    <w:p>
      <w:pPr>
        <w:pStyle w:val="Основний текст A"/>
        <w:widowControl w:val="0"/>
        <w:spacing w:line="288" w:lineRule="auto"/>
        <w:jc w:val="both"/>
        <w:rPr>
          <w:i w:val="1"/>
          <w:iCs w:val="1"/>
          <w:sz w:val="22"/>
          <w:szCs w:val="22"/>
        </w:rPr>
      </w:pPr>
    </w:p>
    <w:p>
      <w:pPr>
        <w:pStyle w:val="Основний текст A"/>
        <w:widowControl w:val="0"/>
        <w:spacing w:line="288" w:lineRule="auto"/>
        <w:jc w:val="both"/>
        <w:rPr>
          <w:kern w:val="2"/>
        </w:rPr>
      </w:pPr>
      <w:r>
        <w:rPr>
          <w:sz w:val="22"/>
          <w:szCs w:val="22"/>
          <w:rtl w:val="0"/>
          <w:lang w:val="ru-RU"/>
        </w:rPr>
        <w:t>Сучасна медіасфера функціонує за проєктним принципом</w:t>
      </w:r>
      <w:r>
        <w:rPr>
          <w:sz w:val="22"/>
          <w:szCs w:val="22"/>
          <w:rtl w:val="0"/>
          <w:lang w:val="ru-RU"/>
        </w:rPr>
        <w:t xml:space="preserve">: </w:t>
      </w:r>
      <w:r>
        <w:rPr>
          <w:sz w:val="22"/>
          <w:szCs w:val="22"/>
          <w:rtl w:val="0"/>
          <w:lang w:val="ru-RU"/>
        </w:rPr>
        <w:t>створення документального фільму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 xml:space="preserve">запуск нового </w:t>
      </w:r>
      <w:r>
        <w:rPr>
          <w:sz w:val="22"/>
          <w:szCs w:val="22"/>
          <w:rtl w:val="0"/>
          <w:lang w:val="en-US"/>
        </w:rPr>
        <w:t>YouTube</w:t>
      </w:r>
      <w:r>
        <w:rPr>
          <w:sz w:val="22"/>
          <w:szCs w:val="22"/>
          <w:rtl w:val="0"/>
          <w:lang w:val="ru-RU"/>
        </w:rPr>
        <w:t>-</w:t>
      </w:r>
      <w:r>
        <w:rPr>
          <w:sz w:val="22"/>
          <w:szCs w:val="22"/>
          <w:rtl w:val="0"/>
          <w:lang w:val="ru-RU"/>
        </w:rPr>
        <w:t>каналу чи організація інформаційної кампанії вимагають навичок менеджера</w:t>
      </w:r>
      <w:r>
        <w:rPr>
          <w:sz w:val="22"/>
          <w:szCs w:val="22"/>
          <w:rtl w:val="0"/>
          <w:lang w:val="ru-RU"/>
        </w:rPr>
        <w:t xml:space="preserve">. </w:t>
      </w:r>
      <w:r>
        <w:rPr>
          <w:sz w:val="22"/>
          <w:szCs w:val="22"/>
          <w:rtl w:val="0"/>
          <w:lang w:val="ru-RU"/>
        </w:rPr>
        <w:t>Без знань з управління проєктами фахівець ризикує втратити контроль над ресурсами та часом</w:t>
      </w:r>
      <w:r>
        <w:rPr>
          <w:sz w:val="22"/>
          <w:szCs w:val="22"/>
          <w:rtl w:val="0"/>
          <w:lang w:val="ru-RU"/>
        </w:rPr>
        <w:t xml:space="preserve">, </w:t>
      </w:r>
      <w:r>
        <w:rPr>
          <w:sz w:val="22"/>
          <w:szCs w:val="22"/>
          <w:rtl w:val="0"/>
          <w:lang w:val="ru-RU"/>
        </w:rPr>
        <w:t xml:space="preserve">тоді як володіння цими інструментами дозволяє масштабувати власні ідеї та бути конкурентоспроможним лідером на ринку </w:t>
      </w:r>
      <w:commentRangeStart w:id="1"/>
      <w:r>
        <w:rPr>
          <w:sz w:val="22"/>
          <w:szCs w:val="22"/>
          <w:rtl w:val="0"/>
          <w:lang w:val="ru-RU"/>
        </w:rPr>
        <w:t>праці</w:t>
      </w:r>
      <w:commentRangeEnd w:id="1"/>
      <w:r>
        <w:commentReference w:id="1"/>
      </w:r>
      <w:r>
        <w:rPr>
          <w:sz w:val="22"/>
          <w:szCs w:val="22"/>
          <w:rtl w:val="0"/>
          <w:lang w:val="ru-RU"/>
        </w:rPr>
        <w:t>.</w:t>
      </w:r>
    </w:p>
    <w:p>
      <w:pPr>
        <w:pStyle w:val="Типовий A"/>
        <w:suppressAutoHyphens w:val="1"/>
        <w:spacing w:before="0" w:after="120" w:line="240" w:lineRule="auto"/>
        <w:ind w:left="283" w:firstLin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Паспорт навчальної дисципліни</w:t>
      </w:r>
    </w:p>
    <w:tbl>
      <w:tblPr>
        <w:tblW w:w="8837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2770"/>
        <w:gridCol w:w="3034"/>
        <w:gridCol w:w="3033"/>
      </w:tblGrid>
      <w:tr>
        <w:tblPrEx>
          <w:shd w:val="clear" w:color="auto" w:fill="cadfff"/>
        </w:tblPrEx>
        <w:trPr>
          <w:trHeight w:val="1242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Нормативні показники </w:t>
            </w:r>
          </w:p>
        </w:tc>
        <w:tc>
          <w:tcPr>
            <w:tcW w:type="dxa" w:w="30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b w:val="1"/>
                <w:bCs w:val="1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денна форма здобуття освіти</w:t>
            </w:r>
          </w:p>
        </w:tc>
        <w:tc>
          <w:tcPr>
            <w:tcW w:type="dxa" w:w="30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b w:val="1"/>
                <w:bCs w:val="1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заочна форма здобуття освіти</w:t>
            </w:r>
          </w:p>
        </w:tc>
      </w:tr>
      <w:tr>
        <w:tblPrEx>
          <w:shd w:val="clear" w:color="auto" w:fill="cadfff"/>
        </w:tblPrEx>
        <w:trPr>
          <w:trHeight w:val="893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before="60" w:after="60"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>Статус дисципліни</w:t>
            </w:r>
          </w:p>
        </w:tc>
        <w:tc>
          <w:tcPr>
            <w:tcW w:type="dxa" w:w="60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b w:val="1"/>
                <w:bCs w:val="1"/>
                <w:kern w:val="2"/>
                <w:sz w:val="28"/>
                <w:szCs w:val="28"/>
                <w:shd w:val="nil" w:color="auto" w:fill="auto"/>
                <w:rtl w:val="0"/>
                <w:lang w:val="en-US"/>
              </w:rPr>
              <w:t>Обовʼязкова</w:t>
            </w:r>
          </w:p>
        </w:tc>
      </w:tr>
      <w:tr>
        <w:tblPrEx>
          <w:shd w:val="clear" w:color="auto" w:fill="cadfff"/>
        </w:tblPrEx>
        <w:trPr>
          <w:trHeight w:val="553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before="60" w:after="60"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Семестр </w:t>
            </w:r>
          </w:p>
        </w:tc>
        <w:tc>
          <w:tcPr>
            <w:tcW w:type="dxa" w:w="30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shd w:val="nil" w:color="auto" w:fill="auto"/>
                <w:rtl w:val="0"/>
                <w:lang w:val="ru-RU"/>
              </w:rPr>
              <w:t>2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-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й</w:t>
            </w:r>
          </w:p>
        </w:tc>
        <w:tc>
          <w:tcPr>
            <w:tcW w:type="dxa" w:w="30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>2</w:t>
            </w:r>
          </w:p>
        </w:tc>
      </w:tr>
      <w:tr>
        <w:tblPrEx>
          <w:shd w:val="clear" w:color="auto" w:fill="cadfff"/>
        </w:tblPrEx>
        <w:trPr>
          <w:trHeight w:val="868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before="60" w:after="60"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Кількість кредитів 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ECTS </w:t>
            </w:r>
          </w:p>
        </w:tc>
        <w:tc>
          <w:tcPr>
            <w:tcW w:type="dxa" w:w="60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 xml:space="preserve">                      </w:t>
            </w:r>
            <w:r>
              <w:rPr>
                <w:kern w:val="2"/>
                <w:shd w:val="nil" w:color="auto" w:fill="auto"/>
                <w:rtl w:val="0"/>
                <w:lang w:val="de-DE"/>
              </w:rPr>
              <w:t xml:space="preserve">   3</w:t>
            </w:r>
          </w:p>
        </w:tc>
      </w:tr>
      <w:tr>
        <w:tblPrEx>
          <w:shd w:val="clear" w:color="auto" w:fill="cadfff"/>
        </w:tblPrEx>
        <w:trPr>
          <w:trHeight w:val="559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before="60" w:after="60"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Кількість годин </w:t>
            </w:r>
          </w:p>
        </w:tc>
        <w:tc>
          <w:tcPr>
            <w:tcW w:type="dxa" w:w="60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                       90                                              90</w:t>
            </w:r>
          </w:p>
        </w:tc>
      </w:tr>
      <w:tr>
        <w:tblPrEx>
          <w:shd w:val="clear" w:color="auto" w:fill="cadfff"/>
        </w:tblPrEx>
        <w:trPr>
          <w:trHeight w:val="921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>Практичніі заняття</w:t>
            </w:r>
          </w:p>
        </w:tc>
        <w:tc>
          <w:tcPr>
            <w:tcW w:type="dxa" w:w="30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shd w:val="nil" w:color="auto" w:fill="auto"/>
                <w:rtl w:val="0"/>
                <w:lang w:val="ru-RU"/>
              </w:rPr>
              <w:t>12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 год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30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shd w:val="nil" w:color="auto" w:fill="auto"/>
                <w:rtl w:val="0"/>
                <w:lang w:val="ru-RU"/>
              </w:rPr>
              <w:t>4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год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adfff"/>
        </w:tblPrEx>
        <w:trPr>
          <w:trHeight w:val="962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Типовий A"/>
              <w:widowControl w:val="0"/>
              <w:suppressAutoHyphens w:val="1"/>
              <w:spacing w:before="0" w:line="276" w:lineRule="auto"/>
            </w:pPr>
            <w:r>
              <w:rPr>
                <w:rFonts w:ascii="Times New Roman" w:hAnsi="Times New Roman" w:hint="default"/>
                <w:kern w:val="2"/>
                <w:shd w:val="nil" w:color="auto" w:fill="auto"/>
                <w:rtl w:val="0"/>
                <w:lang w:val="en-US"/>
              </w:rPr>
              <w:t>Лекційні заняття</w:t>
            </w:r>
          </w:p>
        </w:tc>
        <w:tc>
          <w:tcPr>
            <w:tcW w:type="dxa" w:w="30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Типовий A"/>
              <w:widowControl w:val="0"/>
              <w:suppressAutoHyphens w:val="1"/>
              <w:spacing w:before="0" w:line="276" w:lineRule="auto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Times New Roman" w:hAnsi="Times New Roman" w:hint="default"/>
                <w:kern w:val="2"/>
                <w:shd w:val="nil" w:color="auto" w:fill="auto"/>
                <w:rtl w:val="0"/>
                <w:lang w:val="en-US"/>
              </w:rPr>
              <w:t xml:space="preserve"> год</w:t>
            </w:r>
            <w:r>
              <w:rPr>
                <w:rFonts w:ascii="Times New Roman" w:hAnsi="Times New Roman"/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30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Типовий A"/>
              <w:widowControl w:val="0"/>
              <w:suppressAutoHyphens w:val="1"/>
              <w:spacing w:before="0" w:line="276" w:lineRule="auto"/>
              <w:jc w:val="center"/>
            </w:pPr>
            <w:r>
              <w:rPr>
                <w:rFonts w:ascii="Times New Roman" w:hAnsi="Times New Roman"/>
                <w:kern w:val="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Times New Roman" w:hAnsi="Times New Roman" w:hint="default"/>
                <w:kern w:val="2"/>
                <w:shd w:val="nil" w:color="auto" w:fill="auto"/>
                <w:rtl w:val="0"/>
                <w:lang w:val="en-US"/>
              </w:rPr>
              <w:t>год</w:t>
            </w:r>
            <w:r>
              <w:rPr>
                <w:rFonts w:ascii="Times New Roman" w:hAnsi="Times New Roman"/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adfff"/>
        </w:tblPrEx>
        <w:trPr>
          <w:trHeight w:val="1173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>Самостійна робота</w:t>
            </w:r>
          </w:p>
        </w:tc>
        <w:tc>
          <w:tcPr>
            <w:tcW w:type="dxa" w:w="30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shd w:val="nil" w:color="auto" w:fill="auto"/>
                <w:rtl w:val="0"/>
                <w:lang w:val="ru-RU"/>
              </w:rPr>
              <w:t>74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 год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30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shd w:val="nil" w:color="auto" w:fill="auto"/>
                <w:rtl w:val="0"/>
                <w:lang w:val="ru-RU"/>
              </w:rPr>
              <w:t>8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год</w:t>
            </w:r>
            <w:r>
              <w:rPr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adfff"/>
        </w:tblPrEx>
        <w:trPr>
          <w:trHeight w:val="2140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kern w:val="2"/>
                <w:shd w:val="nil" w:color="auto" w:fill="auto"/>
                <w:rtl w:val="0"/>
                <w:lang w:val="en-US"/>
              </w:rPr>
              <w:t xml:space="preserve">Консультації </w:t>
            </w:r>
          </w:p>
        </w:tc>
        <w:tc>
          <w:tcPr>
            <w:tcW w:type="dxa" w:w="60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rPr>
                <w:rStyle w:val="Немає"/>
                <w:kern w:val="2"/>
                <w:shd w:val="nil" w:color="auto" w:fill="auto"/>
              </w:rPr>
            </w:pPr>
            <w:r>
              <w:rPr>
                <w:kern w:val="2"/>
                <w:shd w:val="nil" w:color="auto" w:fill="auto"/>
                <w:rtl w:val="0"/>
                <w:lang w:val="ru-RU"/>
              </w:rPr>
              <w:t>Платформа</w:t>
            </w:r>
            <w:r>
              <w:rPr>
                <w:i w:val="1"/>
                <w:iCs w:val="1"/>
                <w:kern w:val="2"/>
                <w:shd w:val="nil" w:color="auto" w:fill="auto"/>
                <w:rtl w:val="0"/>
                <w:lang w:val="ru-RU"/>
              </w:rPr>
              <w:t xml:space="preserve"> </w:t>
            </w:r>
            <w:r>
              <w:rPr>
                <w:kern w:val="2"/>
                <w:shd w:val="nil" w:color="auto" w:fill="auto"/>
                <w:rtl w:val="0"/>
                <w:lang w:val="nl-NL"/>
              </w:rPr>
              <w:t xml:space="preserve">Zoom: 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lang w:val="en-US"/>
                <w14:textFill>
                  <w14:solidFill>
                    <w14:srgbClr w14:val="0000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lang w:val="en-US"/>
                <w14:textFill>
                  <w14:solidFill>
                    <w14:srgbClr w14:val="0000FF"/>
                  </w14:solidFill>
                </w14:textFill>
              </w:rPr>
              <w:instrText xml:space="preserve"> HYPERLINK "https://us04web.zoom.us/j/3238488337?pwd=RfKOmrUWeOErlCwN77KZGYb2GTrUoO.1&amp;omn=77816008771"</w:instrTex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lang w:val="en-US"/>
                <w14:textFill>
                  <w14:solidFill>
                    <w14:srgbClr w14:val="0000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https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://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us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04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web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zoom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us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/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j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/3238488337?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pwd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=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RfKOmrUWeOErlCwN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77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KZGYb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2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GTrUoO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.1&amp;</w:t>
            </w:r>
            <w:r>
              <w:rPr>
                <w:rStyle w:val="Hyperlink.0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omn</w:t>
            </w:r>
            <w:r>
              <w:rPr>
                <w:rStyle w:val="Немає"/>
                <w:outline w:val="0"/>
                <w:color w:val="0000ff"/>
                <w:kern w:val="2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=77816008771</w:t>
            </w:r>
            <w:r>
              <w:rPr>
                <w:kern w:val="2"/>
              </w:rPr>
              <w:fldChar w:fldCharType="end" w:fldLock="0"/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 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щопонеділка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, 12.55-14.15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або за домовленістю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Ідентифікатор конференції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: 323 848 8337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i w:val="1"/>
                <w:iCs w:val="1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i w:val="0"/>
                <w:iCs w:val="0"/>
                <w:kern w:val="2"/>
                <w:shd w:val="nil" w:color="auto" w:fill="auto"/>
                <w:rtl w:val="0"/>
                <w:lang w:val="ru-RU"/>
              </w:rPr>
              <w:t>Пароль</w:t>
            </w:r>
            <w:r>
              <w:rPr>
                <w:rStyle w:val="Немає"/>
                <w:i w:val="0"/>
                <w:iCs w:val="0"/>
                <w:kern w:val="2"/>
                <w:shd w:val="nil" w:color="auto" w:fill="auto"/>
                <w:rtl w:val="0"/>
                <w:lang w:val="ru-RU"/>
              </w:rPr>
              <w:t>:933443</w:t>
            </w:r>
            <w:r>
              <w:rPr>
                <w:rStyle w:val="Немає"/>
                <w:i w:val="1"/>
                <w:iCs w:val="1"/>
                <w:kern w:val="2"/>
                <w:shd w:val="nil" w:color="auto" w:fill="auto"/>
                <w:rtl w:val="0"/>
                <w:lang w:val="ru-RU"/>
              </w:rPr>
              <w:t xml:space="preserve"> (</w:t>
            </w:r>
            <w:r>
              <w:rPr>
                <w:rStyle w:val="Немає"/>
                <w:i w:val="1"/>
                <w:iCs w:val="1"/>
                <w:kern w:val="2"/>
                <w:shd w:val="nil" w:color="auto" w:fill="auto"/>
                <w:rtl w:val="0"/>
                <w:lang w:val="ru-RU"/>
              </w:rPr>
              <w:t>дистанційно</w:t>
            </w:r>
            <w:r>
              <w:rPr>
                <w:rStyle w:val="Немає"/>
                <w:i w:val="1"/>
                <w:iCs w:val="1"/>
                <w:kern w:val="2"/>
                <w:shd w:val="nil" w:color="auto" w:fill="auto"/>
                <w:rtl w:val="0"/>
                <w:lang w:val="ru-RU"/>
              </w:rPr>
              <w:t xml:space="preserve">) 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Кафедра журналістики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каб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. 207, 2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корпус ЗНУ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очно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653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Вид підсумкового семестрового контролю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60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8"/>
                <w:szCs w:val="28"/>
                <w:shd w:val="nil" w:color="auto" w:fill="auto"/>
                <w:rtl w:val="0"/>
                <w:lang w:val="en-US"/>
              </w:rPr>
              <w:t>Іспит</w:t>
            </w:r>
          </w:p>
        </w:tc>
      </w:tr>
      <w:tr>
        <w:tblPrEx>
          <w:shd w:val="clear" w:color="auto" w:fill="cadfff"/>
        </w:tblPrEx>
        <w:trPr>
          <w:trHeight w:val="1210" w:hRule="atLeast"/>
        </w:trPr>
        <w:tc>
          <w:tcPr>
            <w:tcW w:type="dxa" w:w="27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Посилання на електронний курс у СЕЗН ЗНУ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платформа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Moodle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60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lang w:val="en-US"/>
                <w14:textFill>
                  <w14:solidFill>
                    <w14:srgbClr w14:val="0000FF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lang w:val="en-US"/>
                <w14:textFill>
                  <w14:solidFill>
                    <w14:srgbClr w14:val="0000FF"/>
                  </w14:solidFill>
                </w14:textFill>
              </w:rPr>
              <w:instrText xml:space="preserve"> HYPERLINK "https://moodle.znu.edu.ua/course/view.php?id=10629"</w:instrTex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lang w:val="en-US"/>
                <w14:textFill>
                  <w14:solidFill>
                    <w14:srgbClr w14:val="0000FF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https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://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moodle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znu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edu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ua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/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course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/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view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.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php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?</w:t>
            </w:r>
            <w:r>
              <w:rPr>
                <w:rStyle w:val="Hyperlink.0"/>
                <w:outline w:val="0"/>
                <w:color w:val="0000ff"/>
                <w:u w:val="single" w:color="0000ff"/>
                <w:shd w:val="nil" w:color="auto" w:fill="auto"/>
                <w:rtl w:val="0"/>
                <w:lang w:val="en-US"/>
                <w14:textFill>
                  <w14:solidFill>
                    <w14:srgbClr w14:val="0000FF"/>
                  </w14:solidFill>
                </w14:textFill>
              </w:rPr>
              <w:t>id</w:t>
            </w:r>
            <w:r>
              <w:rPr>
                <w:rStyle w:val="Немає"/>
                <w:outline w:val="0"/>
                <w:color w:val="0000ff"/>
                <w:u w:val="single" w:color="0000ff"/>
                <w:shd w:val="nil" w:color="auto" w:fill="auto"/>
                <w:rtl w:val="0"/>
                <w:lang w:val="ru-RU"/>
                <w14:textFill>
                  <w14:solidFill>
                    <w14:srgbClr w14:val="0000FF"/>
                  </w14:solidFill>
                </w14:textFill>
              </w:rPr>
              <w:t>=10629</w:t>
            </w:r>
            <w:r>
              <w:rPr/>
              <w:fldChar w:fldCharType="end" w:fldLock="0"/>
            </w:r>
          </w:p>
        </w:tc>
      </w:tr>
    </w:tbl>
    <w:p>
      <w:pPr>
        <w:pStyle w:val="Типовий A"/>
        <w:widowControl w:val="0"/>
        <w:suppressAutoHyphens w:val="1"/>
        <w:spacing w:before="0" w:after="12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 xml:space="preserve">2. </w:t>
      </w: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 xml:space="preserve">Методи досягнення запланованих освітньою програмою компетентностей і результатів навчання </w:t>
      </w: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</w:p>
    <w:tbl>
      <w:tblPr>
        <w:tblW w:w="9087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3002"/>
        <w:gridCol w:w="2732"/>
        <w:gridCol w:w="3353"/>
      </w:tblGrid>
      <w:tr>
        <w:tblPrEx>
          <w:shd w:val="clear" w:color="auto" w:fill="cadfff"/>
        </w:tblPrEx>
        <w:trPr>
          <w:trHeight w:val="864" w:hRule="atLeast"/>
        </w:trPr>
        <w:tc>
          <w:tcPr>
            <w:tcW w:type="dxa" w:w="30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ind w:firstLine="295"/>
              <w:jc w:val="center"/>
              <w:rPr>
                <w:rStyle w:val="Немає"/>
                <w:b w:val="1"/>
                <w:bCs w:val="1"/>
                <w:kern w:val="2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Компетентності</w:t>
            </w: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/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spacing w:line="276" w:lineRule="auto"/>
              <w:ind w:left="0" w:right="0" w:firstLine="295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результати навчання</w:t>
            </w:r>
          </w:p>
        </w:tc>
        <w:tc>
          <w:tcPr>
            <w:tcW w:type="dxa" w:w="2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ind w:firstLine="295"/>
              <w:jc w:val="center"/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 xml:space="preserve">Методи навчання  </w:t>
            </w:r>
          </w:p>
        </w:tc>
        <w:tc>
          <w:tcPr>
            <w:tcW w:type="dxa" w:w="33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ind w:firstLine="295"/>
              <w:jc w:val="center"/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Форми і методи оцінювання</w:t>
            </w:r>
          </w:p>
        </w:tc>
      </w:tr>
      <w:tr>
        <w:tblPrEx>
          <w:shd w:val="clear" w:color="auto" w:fill="cadfff"/>
        </w:tblPrEx>
        <w:trPr>
          <w:trHeight w:val="12310" w:hRule="atLeast"/>
        </w:trPr>
        <w:tc>
          <w:tcPr>
            <w:tcW w:type="dxa" w:w="30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spacing w:before="0" w:line="216" w:lineRule="auto"/>
              <w:jc w:val="both"/>
              <w:rPr>
                <w:rStyle w:val="Немає"/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Програмні компетентності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ЗК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2.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планувати час та управляти ним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;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ЗК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3.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Здатність генерувати нові ідеї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креативність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);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ЗК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4.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використовувати іноземні мови у популяризації своєї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дослідницької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та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або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інноваційної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роботи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>;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ЗК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7.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розробляти медіапроєкти та управляти ними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;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ЗК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8.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виявляти ініціативу та підприємливість у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медіадіяльності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>;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ФК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3.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виконувати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складні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завдання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і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вирішувати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складні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проблеми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що потребує оновлення та інтеграції знань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часто в умовах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неповної чи недостатньої інформації та суперечливих вимог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ФК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4.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проводити дослідницьку та інноваційну діяльність у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галузі сучасних медіа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;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ФК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6.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приймати рішення у складних і непередбачуваних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умовах інноваційної роботи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що потребує застосування нових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підходів та прогнозування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ФК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11.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Здатність здійснювати планування та керівництво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медіадіяльністю у виконанні короткострокових та довгострокових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проєктів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Програмні результати навчання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: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ПР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1.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Використовувати іноземні мови у популяризації своєї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дослідницької або інноваційної роботи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ПРЗ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6.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Застосовувати спеціалізовані концептуальні новітні знання з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соціальних комунікацій при плануванні професійної діяльності в різних структурах медіагалузі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РНУ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1.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Аналізувати та узагальнювати результати досліджень і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робити висновки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збирати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перевіряти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аналізувати та інтерпретувати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дані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РНУ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2.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Здійснювати пошук необхідних даних та знань для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здійснення практичної діяльності журналіста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аналітика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РНУ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3.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Створювати аналітичні програми й журналістські проєкти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18"/>
                <w:szCs w:val="18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для використання у різних сферах медіагалузі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bidi w:val="0"/>
              <w:spacing w:before="0" w:line="216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РНАіВ 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 xml:space="preserve">2. </w:t>
            </w:r>
            <w:r>
              <w:rPr>
                <w:rStyle w:val="Немає"/>
                <w:rFonts w:ascii="Times New Roman" w:hAnsi="Times New Roman" w:hint="default"/>
                <w:sz w:val="18"/>
                <w:szCs w:val="18"/>
                <w:shd w:val="nil" w:color="auto" w:fill="auto"/>
                <w:rtl w:val="0"/>
                <w:lang w:val="ru-RU"/>
              </w:rPr>
              <w:t>Планувати час на проведення досліджень чи розробку журналістського чи інноваційного проєкту</w:t>
            </w:r>
            <w:r>
              <w:rPr>
                <w:rStyle w:val="Немає"/>
                <w:rFonts w:ascii="Times New Roman" w:hAnsi="Times New Roman"/>
                <w:sz w:val="18"/>
                <w:szCs w:val="18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hd w:val="nil" w:color="auto" w:fill="auto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Словесні методи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бесіда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робота з підручниками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). 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Практичні методи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дослідні роботи – пошукові завдання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творчі проєкти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). 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Логічні методи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індуктивні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дедуктивні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).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Метод формування пізнавального інтересу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навчальна дискусія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).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Методи контролю і самоконтролю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усний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письмовий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).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Самостійно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пошукові методи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індивідуальна робота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).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Метод формування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пізнавального інтересу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навчальна дискусія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).</w:t>
            </w:r>
          </w:p>
        </w:tc>
        <w:tc>
          <w:tcPr>
            <w:tcW w:type="dxa" w:w="33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hd w:val="clear" w:color="auto" w:fill="ffffff"/>
              </w:rPr>
            </w:pPr>
            <w:commentRangeStart w:id="2"/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Методи контролю і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 xml:space="preserve">самоконтролю 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усний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,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письмовий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).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Самостійно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-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пошукові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 xml:space="preserve">методи 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(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індивідуальна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робота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).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Контрольні заходи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: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підготовка проєктних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заявок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 xml:space="preserve">; 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аналітичних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звітів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 xml:space="preserve">, 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індивідуальне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hd w:val="clear" w:color="auto" w:fill="ffffff"/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практичне завдання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;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залік</w:t>
            </w:r>
            <w:r>
              <w:rPr>
                <w:rStyle w:val="Немає"/>
                <w:kern w:val="2"/>
                <w:shd w:val="clear" w:color="auto" w:fill="ffffff"/>
                <w:rtl w:val="0"/>
                <w:lang w:val="ru-RU"/>
              </w:rPr>
              <w:t>.</w:t>
            </w:r>
            <w:commentRangeEnd w:id="2"/>
            <w:r>
              <w:commentReference w:id="2"/>
            </w:r>
          </w:p>
        </w:tc>
      </w:tr>
    </w:tbl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</w:p>
    <w:p>
      <w:pPr>
        <w:pStyle w:val="Основний текст A"/>
        <w:widowControl w:val="0"/>
        <w:tabs>
          <w:tab w:val="left" w:pos="284"/>
          <w:tab w:val="left" w:pos="567"/>
        </w:tabs>
        <w:suppressAutoHyphens w:val="1"/>
        <w:ind w:left="360" w:hanging="360"/>
        <w:jc w:val="center"/>
        <w:rPr>
          <w:rStyle w:val="Немає"/>
          <w:b w:val="1"/>
          <w:bCs w:val="1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 xml:space="preserve">3. </w:t>
      </w: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>Зміст навчальної дисципліни</w:t>
      </w:r>
    </w:p>
    <w:p>
      <w:pPr>
        <w:pStyle w:val="Основний текст A"/>
        <w:widowControl w:val="0"/>
        <w:shd w:val="clear" w:color="auto" w:fill="ffffff"/>
        <w:jc w:val="center"/>
        <w:rPr>
          <w:rStyle w:val="Немає"/>
          <w:i w:val="1"/>
          <w:iCs w:val="1"/>
        </w:rPr>
      </w:pPr>
      <w:r>
        <w:rPr>
          <w:rStyle w:val="Немає"/>
          <w:b w:val="1"/>
          <w:bCs w:val="1"/>
          <w:rtl w:val="0"/>
          <w:lang w:val="ru-RU"/>
        </w:rPr>
        <w:t xml:space="preserve">Змістовий модуль </w:t>
      </w:r>
      <w:r>
        <w:rPr>
          <w:rStyle w:val="Немає"/>
          <w:b w:val="1"/>
          <w:bCs w:val="1"/>
          <w:rtl w:val="0"/>
          <w:lang w:val="ru-RU"/>
        </w:rPr>
        <w:t>1.</w:t>
      </w:r>
      <w:r>
        <w:rPr>
          <w:rStyle w:val="Немає"/>
          <w:i w:val="1"/>
          <w:iCs w:val="1"/>
          <w:rtl w:val="0"/>
          <w:lang w:val="ru-RU"/>
        </w:rPr>
        <w:t xml:space="preserve"> 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rtl w:val="0"/>
          <w:lang w:val="ru-RU"/>
        </w:rPr>
        <w:t>Теоретичні основи проєктної діяльності</w:t>
      </w:r>
      <w:r>
        <w:rPr>
          <w:rStyle w:val="Немає"/>
          <w:rFonts w:ascii="Times New Roman" w:hAnsi="Times New Roman"/>
          <w:b w:val="1"/>
          <w:bCs w:val="1"/>
          <w:rtl w:val="0"/>
          <w:lang w:val="ru-RU"/>
        </w:rPr>
        <w:t>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rtl w:val="0"/>
          <w:lang w:val="ru-RU"/>
        </w:rPr>
        <w:t xml:space="preserve">Тема </w:t>
      </w:r>
      <w:r>
        <w:rPr>
          <w:rStyle w:val="Немає"/>
          <w:rFonts w:ascii="Times New Roman" w:hAnsi="Times New Roman"/>
          <w:b w:val="1"/>
          <w:bCs w:val="1"/>
          <w:rtl w:val="0"/>
          <w:lang w:val="ru-RU"/>
        </w:rPr>
        <w:t>1.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rtl w:val="0"/>
          <w:lang w:val="ru-RU"/>
        </w:rPr>
        <w:t>Основи проектної діяльності</w:t>
      </w:r>
      <w:r>
        <w:rPr>
          <w:rStyle w:val="Немає"/>
          <w:rFonts w:ascii="Times New Roman" w:hAnsi="Times New Roman"/>
          <w:b w:val="1"/>
          <w:bCs w:val="1"/>
          <w:rtl w:val="0"/>
          <w:lang w:val="ru-RU"/>
        </w:rPr>
        <w:t>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Style w:val="Немає"/>
          <w:rFonts w:ascii="Times New Roman" w:cs="Times New Roman" w:hAnsi="Times New Roman" w:eastAsia="Times New Roman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Від ідеї – до її втілення</w:t>
      </w:r>
      <w:r>
        <w:rPr>
          <w:rStyle w:val="Немає"/>
          <w:rFonts w:ascii="Times New Roman" w:hAnsi="Times New Roman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rtl w:val="0"/>
          <w:lang w:val="ru-RU"/>
        </w:rPr>
        <w:t>основи написання проєктних заявок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Провідні особливості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Style w:val="Немає"/>
          <w:rFonts w:ascii="Times New Roman" w:cs="Times New Roman" w:hAnsi="Times New Roman" w:eastAsia="Times New Roman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проєктної діяльності в умовах глобального контексту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Принципи вибору теми проєкту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Style w:val="Немає"/>
          <w:rFonts w:ascii="Times New Roman" w:cs="Times New Roman" w:hAnsi="Times New Roman" w:eastAsia="Times New Roman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Методологічні підходи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методи та процедури досліджень у рамках науково</w:t>
      </w:r>
      <w:r>
        <w:rPr>
          <w:rStyle w:val="Немає"/>
          <w:rFonts w:ascii="Times New Roman" w:hAnsi="Times New Roman"/>
          <w:rtl w:val="0"/>
          <w:lang w:val="ru-RU"/>
        </w:rPr>
        <w:t>-</w:t>
      </w:r>
      <w:r>
        <w:rPr>
          <w:rStyle w:val="Немає"/>
          <w:rFonts w:ascii="Times New Roman" w:hAnsi="Times New Roman" w:hint="default"/>
          <w:rtl w:val="0"/>
          <w:lang w:val="ru-RU"/>
        </w:rPr>
        <w:t>інноваційних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Style w:val="Немає"/>
          <w:rFonts w:ascii="Times New Roman" w:cs="Times New Roman" w:hAnsi="Times New Roman" w:eastAsia="Times New Roman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проєктів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Прогнозування наукових та прикладних результатів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Аплікаційна форма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Style w:val="Немає"/>
          <w:rFonts w:ascii="Times New Roman" w:cs="Times New Roman" w:hAnsi="Times New Roman" w:eastAsia="Times New Roman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програми Еразмус</w:t>
      </w:r>
      <w:r>
        <w:rPr>
          <w:rStyle w:val="Немає"/>
          <w:rFonts w:ascii="Times New Roman" w:hAnsi="Times New Roman"/>
          <w:rtl w:val="0"/>
          <w:lang w:val="ru-RU"/>
        </w:rPr>
        <w:t xml:space="preserve">+ </w:t>
      </w:r>
      <w:r>
        <w:rPr>
          <w:rStyle w:val="Немає"/>
          <w:rFonts w:ascii="Times New Roman" w:hAnsi="Times New Roman" w:hint="default"/>
          <w:rtl w:val="0"/>
          <w:lang w:val="ru-RU"/>
        </w:rPr>
        <w:t>напрямку Жана Моне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секція </w:t>
      </w:r>
      <w:r>
        <w:rPr>
          <w:rStyle w:val="Немає"/>
          <w:rFonts w:ascii="Times New Roman" w:hAnsi="Times New Roman"/>
          <w:rtl w:val="0"/>
          <w:lang w:val="ru-RU"/>
        </w:rPr>
        <w:t>"</w:t>
      </w:r>
      <w:r>
        <w:rPr>
          <w:rStyle w:val="Немає"/>
          <w:rFonts w:ascii="Times New Roman" w:hAnsi="Times New Roman" w:hint="default"/>
          <w:rtl w:val="0"/>
          <w:lang w:val="ru-RU"/>
        </w:rPr>
        <w:t>Обґрунтування ідеї</w:t>
      </w:r>
      <w:r>
        <w:rPr>
          <w:rStyle w:val="Немає"/>
          <w:rFonts w:ascii="Times New Roman" w:hAnsi="Times New Roman"/>
          <w:rtl w:val="0"/>
          <w:lang w:val="ru-RU"/>
        </w:rPr>
        <w:t>".</w:t>
      </w:r>
    </w:p>
    <w:p>
      <w:pPr>
        <w:pStyle w:val="Основний текст A"/>
        <w:widowControl w:val="0"/>
        <w:shd w:val="clear" w:color="auto" w:fill="ffffff"/>
        <w:ind w:firstLine="720"/>
        <w:jc w:val="both"/>
        <w:rPr>
          <w:rStyle w:val="Немає A"/>
        </w:rPr>
      </w:pPr>
    </w:p>
    <w:p>
      <w:pPr>
        <w:pStyle w:val="Основний текст A"/>
        <w:widowControl w:val="0"/>
        <w:shd w:val="clear" w:color="auto" w:fill="ffffff"/>
        <w:jc w:val="center"/>
        <w:rPr>
          <w:rStyle w:val="Немає"/>
          <w:i w:val="1"/>
          <w:iCs w:val="1"/>
        </w:rPr>
      </w:pPr>
      <w:r>
        <w:rPr>
          <w:rStyle w:val="Немає"/>
          <w:b w:val="1"/>
          <w:bCs w:val="1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rtl w:val="0"/>
          <w:lang w:val="ru-RU"/>
        </w:rPr>
        <w:t>2.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i w:val="1"/>
          <w:iCs w:val="1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rtl w:val="0"/>
          <w:lang w:val="ru-RU"/>
        </w:rPr>
        <w:t>Аналітична робота перед написанням проєкту</w:t>
      </w:r>
      <w:r>
        <w:rPr>
          <w:rStyle w:val="Немає"/>
          <w:rFonts w:ascii="Times New Roman" w:hAnsi="Times New Roman"/>
          <w:b w:val="1"/>
          <w:bCs w:val="1"/>
          <w:rtl w:val="0"/>
          <w:lang w:val="ru-RU"/>
        </w:rPr>
        <w:t>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sz w:val="28"/>
          <w:szCs w:val="28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Аналіз ролі проєктної діяльності в сучасній професійній діяльності журналіста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Пошуки і формулювання теми грантового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Аналітична робота з підготовки до написання проєктних заявок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Вибір методології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методів і процедур реалізації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Життєвий цикл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його планування і виконання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Окреслення та формулювання очікуваних результатів проекту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Аналіз ризиків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Планування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виконання та оцінка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/>
          <w:rtl w:val="0"/>
          <w:lang w:val="en-US"/>
        </w:rPr>
        <w:t>SWOT</w:t>
      </w:r>
      <w:r>
        <w:rPr>
          <w:rStyle w:val="Немає"/>
          <w:rFonts w:ascii="Times New Roman" w:hAnsi="Times New Roman"/>
          <w:rtl w:val="0"/>
          <w:lang w:val="ru-RU"/>
        </w:rPr>
        <w:t>-</w:t>
      </w:r>
      <w:r>
        <w:rPr>
          <w:rStyle w:val="Немає"/>
          <w:rFonts w:ascii="Times New Roman" w:hAnsi="Times New Roman"/>
          <w:rtl w:val="0"/>
          <w:lang w:val="en-US"/>
        </w:rPr>
        <w:t>a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наліз і </w:t>
      </w:r>
      <w:r>
        <w:rPr>
          <w:rStyle w:val="Немає"/>
          <w:rFonts w:ascii="Times New Roman" w:hAnsi="Times New Roman"/>
          <w:rtl w:val="0"/>
          <w:lang w:val="en-US"/>
        </w:rPr>
        <w:t>PESTLE</w:t>
      </w:r>
      <w:r>
        <w:rPr>
          <w:rStyle w:val="Немає"/>
          <w:rFonts w:ascii="Times New Roman" w:hAnsi="Times New Roman"/>
          <w:rtl w:val="0"/>
          <w:lang w:val="ru-RU"/>
        </w:rPr>
        <w:t>-</w:t>
      </w:r>
      <w:r>
        <w:rPr>
          <w:rStyle w:val="Немає"/>
          <w:rFonts w:ascii="Times New Roman" w:hAnsi="Times New Roman" w:hint="default"/>
          <w:rtl w:val="0"/>
          <w:lang w:val="ru-RU"/>
        </w:rPr>
        <w:t>аналіз за тематикою свого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Оцінка ризиків проєкту і можливі шляхи виходу з них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Матриця оцінки ризиків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</w:p>
    <w:p>
      <w:pPr>
        <w:pStyle w:val="Основний текст A"/>
        <w:widowControl w:val="0"/>
        <w:shd w:val="clear" w:color="auto" w:fill="ffffff"/>
        <w:jc w:val="center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rtl w:val="0"/>
          <w:lang w:val="ru-RU"/>
        </w:rPr>
        <w:t>3.</w:t>
      </w:r>
    </w:p>
    <w:p>
      <w:pPr>
        <w:pStyle w:val="Основний текст A"/>
        <w:widowControl w:val="0"/>
        <w:shd w:val="clear" w:color="auto" w:fill="ffffff"/>
        <w:jc w:val="center"/>
        <w:rPr>
          <w:rStyle w:val="Немає"/>
          <w:b w:val="1"/>
          <w:bCs w:val="1"/>
          <w:i w:val="1"/>
          <w:iCs w:val="1"/>
        </w:rPr>
      </w:pPr>
      <w:r>
        <w:rPr>
          <w:rStyle w:val="Немає"/>
          <w:b w:val="1"/>
          <w:bCs w:val="1"/>
          <w:rtl w:val="0"/>
          <w:lang w:val="ru-RU"/>
        </w:rPr>
        <w:t>Підготовка і реалізація проєктів</w:t>
      </w:r>
      <w:r>
        <w:rPr>
          <w:rStyle w:val="Немає"/>
          <w:b w:val="1"/>
          <w:bCs w:val="1"/>
          <w:rtl w:val="0"/>
          <w:lang w:val="ru-RU"/>
        </w:rPr>
        <w:t>.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Виміри якості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Бюджет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Укладання кошторису проекту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Підготовка структурних компонентів подання на грант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Пошукова робота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спрямована на інформаційне забезпечення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Аналіз потенційних грантодавців та їхніх вимог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Основні розділи бюджетних форм </w:t>
      </w:r>
      <w:r>
        <w:rPr>
          <w:rStyle w:val="Немає"/>
          <w:rFonts w:ascii="Times New Roman" w:hAnsi="Times New Roman"/>
          <w:rtl w:val="0"/>
          <w:lang w:val="ru-RU"/>
        </w:rPr>
        <w:t>(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приклади грантових програм </w:t>
      </w:r>
      <w:r>
        <w:rPr>
          <w:rStyle w:val="Немає"/>
          <w:rFonts w:ascii="Times New Roman" w:hAnsi="Times New Roman"/>
          <w:rtl w:val="0"/>
          <w:lang w:val="en-US"/>
        </w:rPr>
        <w:t>IREX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Посольства США в Україні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Посольства Німеччини в Україні та ін</w:t>
      </w:r>
      <w:r>
        <w:rPr>
          <w:rStyle w:val="Немає"/>
          <w:rFonts w:ascii="Times New Roman" w:hAnsi="Times New Roman"/>
          <w:rtl w:val="0"/>
          <w:lang w:val="ru-RU"/>
        </w:rPr>
        <w:t xml:space="preserve">.) </w:t>
      </w:r>
      <w:r>
        <w:rPr>
          <w:rStyle w:val="Немає"/>
          <w:rFonts w:ascii="Times New Roman" w:hAnsi="Times New Roman" w:hint="default"/>
          <w:rtl w:val="0"/>
          <w:lang w:val="ru-RU"/>
        </w:rPr>
        <w:t>розрахувати бюджет власного проєкту</w:t>
      </w:r>
      <w:r>
        <w:rPr>
          <w:rStyle w:val="Немає"/>
          <w:rFonts w:ascii="Times New Roman" w:hAnsi="Times New Roman"/>
          <w:rtl w:val="0"/>
          <w:lang w:val="ru-RU"/>
        </w:rPr>
        <w:t>.</w:t>
      </w:r>
    </w:p>
    <w:p>
      <w:pPr>
        <w:pStyle w:val="Основний текст A"/>
        <w:widowControl w:val="0"/>
        <w:shd w:val="clear" w:color="auto" w:fill="ffffff"/>
        <w:jc w:val="both"/>
        <w:rPr>
          <w:rStyle w:val="Немає A"/>
        </w:rPr>
      </w:pPr>
    </w:p>
    <w:p>
      <w:pPr>
        <w:pStyle w:val="Основний текст A"/>
        <w:widowControl w:val="0"/>
        <w:shd w:val="clear" w:color="auto" w:fill="ffffff"/>
        <w:jc w:val="center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  <w:lang w:val="ru-RU"/>
        </w:rPr>
        <w:t xml:space="preserve">Тема </w:t>
      </w:r>
      <w:r>
        <w:rPr>
          <w:rStyle w:val="Немає"/>
          <w:b w:val="1"/>
          <w:bCs w:val="1"/>
          <w:rtl w:val="0"/>
          <w:lang w:val="ru-RU"/>
        </w:rPr>
        <w:t>4.</w:t>
      </w:r>
    </w:p>
    <w:p>
      <w:pPr>
        <w:pStyle w:val="Основний текст A"/>
        <w:widowControl w:val="0"/>
        <w:shd w:val="clear" w:color="auto" w:fill="ffffff"/>
        <w:ind w:firstLine="720"/>
        <w:jc w:val="center"/>
        <w:rPr>
          <w:rStyle w:val="Немає"/>
          <w:b w:val="1"/>
          <w:bCs w:val="1"/>
        </w:rPr>
      </w:pPr>
      <w:r>
        <w:rPr>
          <w:rStyle w:val="Немає"/>
          <w:b w:val="1"/>
          <w:bCs w:val="1"/>
          <w:rtl w:val="0"/>
          <w:lang w:val="ru-RU"/>
        </w:rPr>
        <w:t>Програми грантової підтримки академічної мобільності</w:t>
      </w:r>
    </w:p>
    <w:p>
      <w:pPr>
        <w:pStyle w:val="Типовий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lang w:val="ru-RU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>Проєкти індивідуальної академічної мобільності</w:t>
      </w:r>
      <w:r>
        <w:rPr>
          <w:rStyle w:val="Немає"/>
          <w:rFonts w:ascii="Times New Roman" w:hAnsi="Times New Roman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rtl w:val="0"/>
          <w:lang w:val="ru-RU"/>
        </w:rPr>
        <w:t>що важливо знати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Індивідуальна академічна мобільність і підготовка до неї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Інформаційне забезпечення підготовки науково</w:t>
      </w:r>
      <w:r>
        <w:rPr>
          <w:rStyle w:val="Немає"/>
          <w:rFonts w:ascii="Times New Roman" w:hAnsi="Times New Roman"/>
          <w:rtl w:val="0"/>
          <w:lang w:val="ru-RU"/>
        </w:rPr>
        <w:t xml:space="preserve">- </w:t>
      </w:r>
      <w:r>
        <w:rPr>
          <w:rStyle w:val="Немає"/>
          <w:rFonts w:ascii="Times New Roman" w:hAnsi="Times New Roman" w:hint="default"/>
          <w:rtl w:val="0"/>
          <w:lang w:val="ru-RU"/>
        </w:rPr>
        <w:t>інноваційного проєкту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Основні етапи заповнення заявки на участь у проєкті індивідуальної академічної мобільності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Написання мотиваційного листа на участь у програмі академічної мобільності з описом свого дослідницького проєкту </w:t>
      </w:r>
      <w:r>
        <w:rPr>
          <w:rStyle w:val="Немає"/>
          <w:rFonts w:ascii="Times New Roman" w:hAnsi="Times New Roman"/>
          <w:rtl w:val="0"/>
          <w:lang w:val="ru-RU"/>
        </w:rPr>
        <w:t>(</w:t>
      </w:r>
      <w:r>
        <w:rPr>
          <w:rStyle w:val="Немає"/>
          <w:rFonts w:ascii="Times New Roman" w:hAnsi="Times New Roman" w:hint="default"/>
          <w:rtl w:val="0"/>
          <w:lang w:val="ru-RU"/>
        </w:rPr>
        <w:t>на основі теми магістерської роботи</w:t>
      </w:r>
      <w:r>
        <w:rPr>
          <w:rStyle w:val="Немає"/>
          <w:rFonts w:ascii="Times New Roman" w:hAnsi="Times New Roman"/>
          <w:rtl w:val="0"/>
          <w:lang w:val="ru-RU"/>
        </w:rPr>
        <w:t>).</w:t>
      </w:r>
    </w:p>
    <w:p>
      <w:pPr>
        <w:pStyle w:val="Основний текст A"/>
        <w:widowControl w:val="0"/>
        <w:shd w:val="clear" w:color="auto" w:fill="ffffff"/>
        <w:ind w:firstLine="720"/>
        <w:jc w:val="both"/>
        <w:rPr>
          <w:rStyle w:val="Немає"/>
          <w:i w:val="1"/>
          <w:iCs w:val="1"/>
          <w:sz w:val="22"/>
          <w:szCs w:val="22"/>
        </w:rPr>
      </w:pPr>
    </w:p>
    <w:p>
      <w:pPr>
        <w:pStyle w:val="Основний текст A"/>
        <w:widowControl w:val="0"/>
        <w:ind w:left="118" w:firstLine="0"/>
        <w:jc w:val="center"/>
        <w:rPr>
          <w:rStyle w:val="Немає"/>
          <w:b w:val="1"/>
          <w:bCs w:val="1"/>
          <w:sz w:val="28"/>
          <w:szCs w:val="28"/>
          <w:lang w:val="en-US"/>
        </w:rPr>
      </w:pPr>
      <w:r>
        <w:rPr>
          <w:rStyle w:val="Немає"/>
          <w:b w:val="1"/>
          <w:bCs w:val="1"/>
          <w:sz w:val="28"/>
          <w:szCs w:val="28"/>
          <w:rtl w:val="0"/>
          <w:lang w:val="en-US"/>
        </w:rPr>
        <w:t xml:space="preserve">4. </w:t>
      </w:r>
      <w:r>
        <w:rPr>
          <w:rStyle w:val="Немає"/>
          <w:b w:val="1"/>
          <w:bCs w:val="1"/>
          <w:sz w:val="28"/>
          <w:szCs w:val="28"/>
          <w:rtl w:val="0"/>
          <w:lang w:val="en-US"/>
        </w:rPr>
        <w:t xml:space="preserve">Структура навчальної дисципліни </w:t>
      </w:r>
    </w:p>
    <w:p>
      <w:pPr>
        <w:pStyle w:val="Основний текст A"/>
        <w:widowControl w:val="0"/>
        <w:ind w:left="118" w:firstLine="0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tbl>
      <w:tblPr>
        <w:tblW w:w="940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1363"/>
        <w:gridCol w:w="4970"/>
        <w:gridCol w:w="563"/>
        <w:gridCol w:w="600"/>
        <w:gridCol w:w="1910"/>
      </w:tblGrid>
      <w:tr>
        <w:tblPrEx>
          <w:shd w:val="clear" w:color="auto" w:fill="cadfff"/>
        </w:tblPrEx>
        <w:trPr>
          <w:trHeight w:val="563" w:hRule="atLeast"/>
        </w:trPr>
        <w:tc>
          <w:tcPr>
            <w:tcW w:type="dxa" w:w="136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Вид заняття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/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роботи</w:t>
            </w:r>
          </w:p>
        </w:tc>
        <w:tc>
          <w:tcPr>
            <w:tcW w:type="dxa" w:w="497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Назва теми</w:t>
            </w:r>
          </w:p>
        </w:tc>
        <w:tc>
          <w:tcPr>
            <w:tcW w:type="dxa" w:w="11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Кількість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годин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Згідно з розкладом</w:t>
            </w:r>
          </w:p>
        </w:tc>
      </w:tr>
      <w:tr>
        <w:tblPrEx>
          <w:shd w:val="clear" w:color="auto" w:fill="cadfff"/>
        </w:tblPrEx>
        <w:trPr>
          <w:trHeight w:val="553" w:hRule="atLeast"/>
        </w:trPr>
        <w:tc>
          <w:tcPr>
            <w:tcW w:type="dxa" w:w="13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97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273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3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5</w:t>
            </w:r>
          </w:p>
        </w:tc>
      </w:tr>
      <w:tr>
        <w:tblPrEx>
          <w:shd w:val="clear" w:color="auto" w:fill="cadfff"/>
        </w:tblPrEx>
        <w:trPr>
          <w:trHeight w:val="846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заняття 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Теоретичні основи проєктної діяльності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  <w:tr>
        <w:tblPrEx>
          <w:shd w:val="clear" w:color="auto" w:fill="cadfff"/>
        </w:tblPrEx>
        <w:trPr>
          <w:trHeight w:val="851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заняття 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Аналітична робота перед написанням проєкту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  <w:tr>
        <w:tblPrEx>
          <w:shd w:val="clear" w:color="auto" w:fill="cadfff"/>
        </w:tblPrEx>
        <w:trPr>
          <w:trHeight w:val="851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заняття 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Підготовка і реалізація проєктів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Style w:val="Немає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spacing w:before="0" w:line="240" w:lineRule="auto"/>
            </w:pPr>
            <w:r>
              <w:rPr>
                <w:rStyle w:val="Немає"/>
                <w:rFonts w:ascii="Times New Roman" w:hAnsi="Times New Roman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  <w:tr>
        <w:tblPrEx>
          <w:shd w:val="clear" w:color="auto" w:fill="cadfff"/>
        </w:tblPrEx>
        <w:trPr>
          <w:trHeight w:val="680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Заняття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Програми грантової підтримки академічної мобільності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commentReference w:id="3"/>
            </w: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</w:tbl>
    <w:p>
      <w:pPr>
        <w:pStyle w:val="Основний текст A"/>
        <w:widowControl w:val="0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p>
      <w:pPr>
        <w:pStyle w:val="Основний текст A"/>
        <w:widowControl w:val="0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p>
      <w:pPr>
        <w:pStyle w:val="Основний текст A"/>
        <w:widowControl w:val="0"/>
        <w:ind w:left="864" w:hanging="864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p>
      <w:pPr>
        <w:pStyle w:val="Основний текст A"/>
        <w:widowControl w:val="0"/>
        <w:ind w:left="648" w:hanging="648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tbl>
      <w:tblPr>
        <w:tblW w:w="940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1363"/>
        <w:gridCol w:w="4970"/>
        <w:gridCol w:w="563"/>
        <w:gridCol w:w="600"/>
        <w:gridCol w:w="1910"/>
      </w:tblGrid>
      <w:tr>
        <w:tblPrEx>
          <w:shd w:val="clear" w:color="auto" w:fill="cadfff"/>
        </w:tblPrEx>
        <w:trPr>
          <w:trHeight w:val="563" w:hRule="atLeast"/>
        </w:trPr>
        <w:tc>
          <w:tcPr>
            <w:tcW w:type="dxa" w:w="136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Вид заняття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/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роботи</w:t>
            </w:r>
          </w:p>
        </w:tc>
        <w:tc>
          <w:tcPr>
            <w:tcW w:type="dxa" w:w="497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commentReference w:id="4"/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Назва теми</w:t>
            </w:r>
          </w:p>
        </w:tc>
        <w:tc>
          <w:tcPr>
            <w:tcW w:type="dxa" w:w="11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Кількість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годин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Згідно з розкладом</w:t>
            </w:r>
          </w:p>
        </w:tc>
      </w:tr>
      <w:tr>
        <w:tblPrEx>
          <w:shd w:val="clear" w:color="auto" w:fill="cadfff"/>
        </w:tblPrEx>
        <w:trPr>
          <w:trHeight w:val="553" w:hRule="atLeast"/>
        </w:trPr>
        <w:tc>
          <w:tcPr>
            <w:tcW w:type="dxa" w:w="13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97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273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3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spacing w:line="276" w:lineRule="auto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5</w:t>
            </w:r>
          </w:p>
        </w:tc>
      </w:tr>
      <w:tr>
        <w:tblPrEx>
          <w:shd w:val="clear" w:color="auto" w:fill="cadfff"/>
        </w:tblPrEx>
        <w:trPr>
          <w:trHeight w:val="846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Л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екційне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заняття 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Теоретичні основи проєктної діяльності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  <w:tr>
        <w:tblPrEx>
          <w:shd w:val="clear" w:color="auto" w:fill="cadfff"/>
        </w:tblPrEx>
        <w:trPr>
          <w:trHeight w:val="851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Лекційне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заняття 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Аналітична робота перед написанням проєкту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Style w:val="Немає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  <w:tr>
        <w:tblPrEx>
          <w:shd w:val="clear" w:color="auto" w:fill="cadfff"/>
        </w:tblPrEx>
        <w:trPr>
          <w:trHeight w:val="851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Лекційне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заняття 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Підготовка і реалізація проєктів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  <w:tr>
        <w:tblPrEx>
          <w:shd w:val="clear" w:color="auto" w:fill="cadfff"/>
        </w:tblPrEx>
        <w:trPr>
          <w:trHeight w:val="680" w:hRule="atLeast"/>
        </w:trPr>
        <w:tc>
          <w:tcPr>
            <w:tcW w:type="dxa" w:w="13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Лекційне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Заняття</w:t>
            </w:r>
          </w:p>
        </w:tc>
        <w:tc>
          <w:tcPr>
            <w:tcW w:type="dxa" w:w="49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Програми грантової підтримки академічної мобільності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5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Style w:val="Немає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6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i w:val="1"/>
                <w:i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щотижня</w:t>
            </w:r>
          </w:p>
        </w:tc>
      </w:tr>
    </w:tbl>
    <w:p>
      <w:pPr>
        <w:pStyle w:val="Основний текст A"/>
        <w:widowControl w:val="0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p>
      <w:pPr>
        <w:pStyle w:val="Основний текст A"/>
        <w:widowControl w:val="0"/>
        <w:jc w:val="center"/>
        <w:rPr>
          <w:rStyle w:val="Немає"/>
          <w:b w:val="1"/>
          <w:bCs w:val="1"/>
          <w:sz w:val="28"/>
          <w:szCs w:val="28"/>
          <w:lang w:val="en-US"/>
        </w:rPr>
      </w:pPr>
    </w:p>
    <w:p>
      <w:pPr>
        <w:pStyle w:val="Основний текст A"/>
        <w:widowControl w:val="0"/>
        <w:suppressAutoHyphens w:val="1"/>
        <w:ind w:left="927" w:firstLine="0"/>
        <w:jc w:val="center"/>
        <w:rPr>
          <w:rStyle w:val="Немає"/>
          <w:kern w:val="2"/>
        </w:rPr>
      </w:pPr>
    </w:p>
    <w:p>
      <w:pPr>
        <w:pStyle w:val="Основний текст A"/>
        <w:widowControl w:val="0"/>
        <w:suppressAutoHyphens w:val="1"/>
        <w:ind w:left="927" w:firstLine="0"/>
        <w:jc w:val="center"/>
        <w:rPr>
          <w:rStyle w:val="Немає"/>
          <w:b w:val="1"/>
          <w:bCs w:val="1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 xml:space="preserve">5. </w:t>
      </w:r>
      <w:r>
        <w:rPr>
          <w:rStyle w:val="Немає"/>
          <w:b w:val="1"/>
          <w:bCs w:val="1"/>
          <w:kern w:val="2"/>
          <w:sz w:val="28"/>
          <w:szCs w:val="28"/>
          <w:rtl w:val="0"/>
          <w:lang w:val="en-US"/>
        </w:rPr>
        <w:t xml:space="preserve">Види і зміст контрольних заходів </w:t>
      </w:r>
    </w:p>
    <w:p>
      <w:pPr>
        <w:pStyle w:val="Основний текст A"/>
        <w:widowControl w:val="0"/>
        <w:suppressAutoHyphens w:val="1"/>
        <w:ind w:left="927" w:firstLine="0"/>
        <w:jc w:val="center"/>
        <w:rPr>
          <w:rStyle w:val="Немає"/>
          <w:b w:val="1"/>
          <w:bCs w:val="1"/>
          <w:kern w:val="2"/>
          <w:sz w:val="20"/>
          <w:szCs w:val="20"/>
        </w:rPr>
      </w:pPr>
    </w:p>
    <w:p>
      <w:pPr>
        <w:pStyle w:val="Основний текст A"/>
        <w:widowControl w:val="0"/>
        <w:suppressAutoHyphens w:val="1"/>
        <w:ind w:left="898" w:hanging="898"/>
        <w:jc w:val="center"/>
        <w:rPr>
          <w:rStyle w:val="Немає"/>
          <w:b w:val="1"/>
          <w:bCs w:val="1"/>
          <w:kern w:val="2"/>
          <w:sz w:val="20"/>
          <w:szCs w:val="20"/>
        </w:rPr>
      </w:pPr>
    </w:p>
    <w:tbl>
      <w:tblPr>
        <w:tblW w:w="8724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1237"/>
        <w:gridCol w:w="1648"/>
        <w:gridCol w:w="2537"/>
        <w:gridCol w:w="2166"/>
        <w:gridCol w:w="1136"/>
      </w:tblGrid>
      <w:tr>
        <w:tblPrEx>
          <w:shd w:val="clear" w:color="auto" w:fill="cadfff"/>
        </w:tblPrEx>
        <w:trPr>
          <w:trHeight w:val="972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Вид заняття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/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роботи 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Вид контрольного заходу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Зміст контрольного заходу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*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Критерії оцінювання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та термін виконання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*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Усього балів</w:t>
            </w:r>
          </w:p>
        </w:tc>
      </w:tr>
      <w:tr>
        <w:tblPrEx>
          <w:shd w:val="clear" w:color="auto" w:fill="cadfff"/>
        </w:tblPrEx>
        <w:trPr>
          <w:trHeight w:val="273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3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i w:val="1"/>
                <w:iCs w:val="1"/>
                <w:kern w:val="2"/>
                <w:sz w:val="16"/>
                <w:szCs w:val="16"/>
                <w:shd w:val="nil" w:color="auto" w:fill="auto"/>
                <w:rtl w:val="0"/>
                <w:lang w:val="en-US"/>
              </w:rPr>
              <w:t>5</w:t>
            </w:r>
          </w:p>
        </w:tc>
      </w:tr>
      <w:tr>
        <w:tblPrEx>
          <w:shd w:val="clear" w:color="auto" w:fill="cadfff"/>
        </w:tblPrEx>
        <w:trPr>
          <w:trHeight w:val="312" w:hRule="atLeast"/>
        </w:trPr>
        <w:tc>
          <w:tcPr>
            <w:tcW w:type="dxa" w:w="8724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Поточний контроль</w:t>
            </w:r>
          </w:p>
        </w:tc>
      </w:tr>
      <w:tr>
        <w:tblPrEx>
          <w:shd w:val="clear" w:color="auto" w:fill="cadfff"/>
        </w:tblPrEx>
        <w:trPr>
          <w:trHeight w:val="266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заняття №</w:t>
            </w: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Теоретичне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опитування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Практичне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завдання –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написання ідеї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грантової заявки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Навчальний матеріал за ЗМ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1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розділ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РП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 основі аплікаційної форми програми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Еразмус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+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напрямку Жана Моне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розписати секцію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"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Обґрунтування ідеї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"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Кількість питань 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2,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кож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-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 правиль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 відповідь 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Завдання виконано у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повному обсязі 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10-13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.;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част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-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ково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(70-50%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вимог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)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6-9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.;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частково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(10-40%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вимог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)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1-5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15</w:t>
            </w:r>
          </w:p>
        </w:tc>
      </w:tr>
      <w:tr>
        <w:tblPrEx>
          <w:shd w:val="clear" w:color="auto" w:fill="cadfff"/>
        </w:tblPrEx>
        <w:trPr>
          <w:trHeight w:val="338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Практичне заняття №</w:t>
            </w: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Теоретичне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опитування</w:t>
            </w:r>
          </w:p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завдання –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підготовка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аналітичного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звіту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Навчальний матеріал за ЗМ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2 (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розділ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РП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Аналіз ризиків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Планування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виконання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та оцінка проєкту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Провести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SWOT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a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наліз і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PESTLE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аналіз за тематикою свого проєкту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Оцінити його ризики і можливі шляхи виходу з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них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Кількість питань 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3,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кож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 правильна відповідь 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Основний текст A"/>
              <w:widowControl w:val="0"/>
              <w:suppressAutoHyphens w:val="1"/>
              <w:rPr>
                <w:rStyle w:val="Немає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Завдання виконано у повному обсязі 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10-15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.;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частково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(70-50%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вимог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)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6-9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.;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частко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во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(10-40%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вимог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)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1-5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shd w:val="nil" w:color="auto" w:fill="auto"/>
                <w:rtl w:val="0"/>
                <w:lang w:val="ru-RU"/>
              </w:rPr>
              <w:t>1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8</w:t>
            </w:r>
          </w:p>
        </w:tc>
      </w:tr>
      <w:tr>
        <w:tblPrEx>
          <w:shd w:val="clear" w:color="auto" w:fill="cadfff"/>
        </w:tblPrEx>
        <w:trPr>
          <w:trHeight w:val="338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Практичне заняття №</w:t>
            </w: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3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Теоретичне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опитування</w:t>
            </w:r>
          </w:p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завдання –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підготовка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бюджету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проєкту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jc w:val="both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Навчальний матеріал за ЗМ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3 (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розділ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РП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jc w:val="both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jc w:val="both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jc w:val="both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 основі поданих бюджетних форм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приклади грантових програм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IREX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Посоль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-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ства США в Україні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Посольства Німеччини в Україні та ін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.)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розрахувати  бюджет власного проєкту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Кількість пи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тань 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3,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кож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 правильна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відповідь 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Завдання виконано у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повному обсязі 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10- 14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.;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частково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(70-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50%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вимог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)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6-9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.;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частково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(10-40%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вимог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)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1-5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17</w:t>
            </w:r>
          </w:p>
        </w:tc>
      </w:tr>
      <w:tr>
        <w:tblPrEx>
          <w:shd w:val="clear" w:color="auto" w:fill="cadfff"/>
        </w:tblPrEx>
        <w:trPr>
          <w:trHeight w:val="386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Практичне заняття №</w:t>
            </w: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Теоретичне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опитування</w:t>
            </w:r>
          </w:p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Практичне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завдання –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підготовка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грантової заявки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на індивідуальну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академічну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мобільність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Навчальний матеріал за ЗМ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4 (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розділ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РП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Заповнити заявку на участь у проєкті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індивідуальної академічної мобільності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Написати мотиваційний лист на участь у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такій програмі з описом свого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дослідницького проєкту 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 основі теми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магістерської роботи</w:t>
            </w:r>
            <w:r>
              <w:rPr>
                <w:rStyle w:val="Немає"/>
                <w:rFonts w:ascii="Times New Roman" w:hAnsi="Times New Roman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).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rPr>
                <w:rStyle w:val="Немає"/>
                <w:kern w:val="2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Кількість пи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тань 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2,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кож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на правильна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відповідь 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Основний текст A"/>
              <w:widowControl w:val="0"/>
              <w:suppressAutoHyphens w:val="1"/>
              <w:rPr>
                <w:rStyle w:val="Немає"/>
                <w:kern w:val="2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Завдання виконано у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повному обсязі 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7-8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.;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частково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(70-50%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вимог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)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4-6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.;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частково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ru-RU"/>
              </w:rPr>
              <w:t>(10-40%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вимог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)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1-3 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10</w:t>
            </w:r>
          </w:p>
        </w:tc>
      </w:tr>
      <w:tr>
        <w:tblPrEx>
          <w:shd w:val="clear" w:color="auto" w:fill="cadfff"/>
        </w:tblPrEx>
        <w:trPr>
          <w:trHeight w:val="1122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</w:pPr>
            <w:r>
              <w:commentReference w:id="5"/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Усього за змістові модулі контр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ru-RU"/>
              </w:rPr>
              <w:t>Заходів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8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60</w:t>
            </w:r>
          </w:p>
        </w:tc>
      </w:tr>
      <w:tr>
        <w:tblPrEx>
          <w:shd w:val="clear" w:color="auto" w:fill="cadfff"/>
        </w:tblPrEx>
        <w:trPr>
          <w:trHeight w:val="902" w:hRule="atLeast"/>
        </w:trPr>
        <w:tc>
          <w:tcPr>
            <w:tcW w:type="dxa" w:w="8724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lang w:val="ru-RU"/>
              </w:rPr>
            </w:pP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Підсумковий контроль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Залік</w:t>
            </w:r>
          </w:p>
        </w:tc>
      </w:tr>
      <w:tr>
        <w:tblPrEx>
          <w:shd w:val="clear" w:color="auto" w:fill="cadfff"/>
        </w:tblPrEx>
        <w:trPr>
          <w:trHeight w:val="98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en-US"/>
              </w:rPr>
              <w:t>Форма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rPr>
                <w:rStyle w:val="Немає"/>
                <w:shd w:val="nil" w:color="auto" w:fill="auto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Види</w:t>
            </w:r>
          </w:p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ind w:left="0" w:right="0" w:firstLine="0"/>
              <w:jc w:val="left"/>
              <w:rPr>
                <w:rStyle w:val="Немає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підсумкових</w:t>
            </w:r>
          </w:p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ind w:left="0" w:right="0" w:firstLine="0"/>
              <w:jc w:val="left"/>
              <w:rPr>
                <w:rStyle w:val="Немає"/>
                <w:shd w:val="nil" w:color="auto" w:fill="auto"/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контрольних</w:t>
            </w:r>
          </w:p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заходів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rPr>
                <w:rStyle w:val="Немає"/>
                <w:shd w:val="nil" w:color="auto" w:fill="auto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Зміст підсумкового</w:t>
            </w:r>
          </w:p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контрольного заходу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</w:pPr>
            <w:r>
              <w:rPr>
                <w:rStyle w:val="Немає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Критерії оцінювання 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en-US"/>
              </w:rPr>
              <w:t>Усього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en-US"/>
              </w:rPr>
              <w:t>балів</w:t>
            </w:r>
          </w:p>
        </w:tc>
      </w:tr>
      <w:tr>
        <w:tblPrEx>
          <w:shd w:val="clear" w:color="auto" w:fill="cadfff"/>
        </w:tblPrEx>
        <w:trPr>
          <w:trHeight w:val="673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Індивідуальне завдання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</w:rPr>
            </w:pPr>
            <w:commentRangeStart w:id="6"/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Підготувати текст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грантового проєкту та його усну мультимедій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ну презентацію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Тема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тика проєктів повинна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відображати проблема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тику магістерських досліджень студентів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Можна виконувати як груповий проєкт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якщо тематика досліджень студентів дотична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Приклади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clear" w:color="auto" w:fill="ffff00"/>
                <w:rtl w:val="0"/>
                <w:lang w:val="ru-RU"/>
              </w:rPr>
              <w:t>можна знайти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на ресурсах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: 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1.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Український культурний фонд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УКФ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):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у розділі «Архів програм»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clear" w:color="auto" w:fill="ffff00"/>
                <w:rtl w:val="0"/>
                <w:lang w:val="ru-RU"/>
              </w:rPr>
              <w:t>можна знайти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зразки аплікаційних форм та інструкції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2.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Веб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ресурс «Громадський простір» або «Ресурсний центр ГУРТ»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: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розділ «Гранти»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,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3.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Детектор медіа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/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ІМІ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: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для перегляду успішних кейсів реалізованих медіапроєктів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commentRangeEnd w:id="6"/>
            <w:r>
              <w:commentReference w:id="6"/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1)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завдання викона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но у повному обсязі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без стилістичних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,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орфографічних і граматичних поми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лок –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20-15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балів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; 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2)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завдання викона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но не у повному обсязі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з лексични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ми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орфографіч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ними і граматични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ми помилками –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14-8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балів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; 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3)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завдання викона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но з великою кіль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кістю помилок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є не всі його елемен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ти –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0-7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балів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Завдання має бути здано викладачу за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5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днів до заліку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Style w:val="Немає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20</w:t>
            </w:r>
          </w:p>
        </w:tc>
      </w:tr>
      <w:tr>
        <w:tblPrEx>
          <w:shd w:val="clear" w:color="auto" w:fill="cadfff"/>
        </w:tblPrEx>
        <w:trPr>
          <w:trHeight w:val="2651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Style w:val="Немає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іспит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Теоретичні завдання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Теоретична частина передбачає проходження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підсумкового тесту у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en-US"/>
              </w:rPr>
              <w:t>системі Мудл</w:t>
            </w:r>
          </w:p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spacing w:before="0" w:line="240" w:lineRule="auto"/>
              <w:jc w:val="both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</w:rPr>
            </w:pPr>
            <w:commentRangeStart w:id="7"/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Проводиться в письмовій формі при очній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/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дистанційній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формі навчання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Складається із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відповіді на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20 </w:t>
            </w: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тестових завдань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За одну годину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both"/>
              <w:rPr>
                <w:rStyle w:val="Немає"/>
                <w:rFonts w:ascii="Times New Roman" w:cs="Times New Roman" w:hAnsi="Times New Roman" w:eastAsia="Times New Roman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ru-RU"/>
              </w:rPr>
              <w:t>Дві спроби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  <w:p>
            <w:pPr>
              <w:pStyle w:val="Типовий A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  <w:bidi w:val="0"/>
              <w:spacing w:before="0" w:line="24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Немає"/>
                <w:rFonts w:ascii="Times New Roman" w:hAnsi="Times New Roman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Максимальний бал тесту – </w:t>
            </w:r>
            <w:r>
              <w:rPr>
                <w:rStyle w:val="Немає"/>
                <w:rFonts w:ascii="Times New Roman" w:hAnsi="Times New Roman"/>
                <w:sz w:val="22"/>
                <w:szCs w:val="22"/>
                <w:shd w:val="nil" w:color="auto" w:fill="auto"/>
                <w:rtl w:val="0"/>
                <w:lang w:val="en-US"/>
              </w:rPr>
              <w:t>20.</w:t>
            </w:r>
            <w:commentRangeEnd w:id="7"/>
            <w:r>
              <w:commentReference w:id="7"/>
            </w:r>
          </w:p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Style w:val="Немає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20</w:t>
            </w:r>
          </w:p>
        </w:tc>
      </w:tr>
      <w:tr>
        <w:tblPrEx>
          <w:shd w:val="clear" w:color="auto" w:fill="cadfff"/>
        </w:tblPrEx>
        <w:trPr>
          <w:trHeight w:val="672" w:hRule="atLeast"/>
        </w:trPr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Усього за </w:t>
            </w:r>
          </w:p>
          <w:p>
            <w:pPr>
              <w:pStyle w:val="Основний текст A"/>
              <w:widowControl w:val="0"/>
              <w:suppressAutoHyphens w:val="1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підсумковий контроль</w:t>
            </w:r>
          </w:p>
        </w:tc>
        <w:tc>
          <w:tcPr>
            <w:tcW w:type="dxa" w:w="16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 w:val="1"/>
            </w:pPr>
            <w:r>
              <w:rPr>
                <w:rStyle w:val="Немає"/>
                <w:kern w:val="2"/>
                <w:sz w:val="22"/>
                <w:szCs w:val="22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25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widowControl w:val="0"/>
              <w:suppressAutoHyphens w:val="1"/>
              <w:jc w:val="center"/>
            </w:pPr>
            <w:r>
              <w:rPr>
                <w:rStyle w:val="Немає"/>
                <w:b w:val="1"/>
                <w:bCs w:val="1"/>
                <w:kern w:val="2"/>
                <w:sz w:val="20"/>
                <w:szCs w:val="20"/>
                <w:shd w:val="nil" w:color="auto" w:fill="auto"/>
                <w:rtl w:val="0"/>
                <w:lang w:val="en-US"/>
              </w:rPr>
              <w:t>40</w:t>
            </w:r>
          </w:p>
        </w:tc>
      </w:tr>
    </w:tbl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0"/>
          <w:szCs w:val="20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  <w:sz w:val="20"/>
          <w:szCs w:val="20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</w:rPr>
      </w:pPr>
      <w:r>
        <w:rPr>
          <w:rStyle w:val="Немає"/>
          <w:b w:val="1"/>
          <w:bCs w:val="1"/>
          <w:kern w:val="2"/>
          <w:rtl w:val="0"/>
          <w:lang w:val="ru-RU"/>
        </w:rPr>
        <w:t>Шкала оцінювання ЗНУ</w:t>
      </w:r>
      <w:r>
        <w:rPr>
          <w:rStyle w:val="Немає"/>
          <w:b w:val="1"/>
          <w:bCs w:val="1"/>
          <w:kern w:val="2"/>
          <w:rtl w:val="0"/>
          <w:lang w:val="ru-RU"/>
        </w:rPr>
        <w:t xml:space="preserve">: </w:t>
      </w:r>
      <w:r>
        <w:rPr>
          <w:rStyle w:val="Немає"/>
          <w:b w:val="1"/>
          <w:bCs w:val="1"/>
          <w:kern w:val="2"/>
          <w:rtl w:val="0"/>
          <w:lang w:val="ru-RU"/>
        </w:rPr>
        <w:t xml:space="preserve">національна та </w:t>
      </w:r>
      <w:r>
        <w:rPr>
          <w:rStyle w:val="Немає"/>
          <w:b w:val="1"/>
          <w:bCs w:val="1"/>
          <w:kern w:val="2"/>
          <w:rtl w:val="0"/>
          <w:lang w:val="ru-RU"/>
        </w:rPr>
        <w:t>ECTS</w:t>
      </w:r>
    </w:p>
    <w:tbl>
      <w:tblPr>
        <w:tblW w:w="10009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1500"/>
        <w:gridCol w:w="4510"/>
        <w:gridCol w:w="2126"/>
        <w:gridCol w:w="1873"/>
      </w:tblGrid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Типовий A"/>
              <w:keepNext w:val="1"/>
              <w:keepLines w:val="1"/>
              <w:widowControl w:val="0"/>
              <w:spacing w:before="0" w:line="220" w:lineRule="auto"/>
              <w:jc w:val="center"/>
              <w:outlineLvl w:val="0"/>
              <w:rPr>
                <w:rStyle w:val="Немає"/>
                <w:rFonts w:ascii="Times New Roman" w:cs="Times New Roman" w:hAnsi="Times New Roman" w:eastAsia="Times New Roman"/>
                <w:b w:val="1"/>
                <w:bCs w:val="1"/>
                <w:sz w:val="26"/>
                <w:szCs w:val="26"/>
                <w:shd w:val="nil" w:color="auto" w:fill="auto"/>
              </w:rPr>
            </w:pPr>
            <w:r>
              <w:rPr>
                <w:rStyle w:val="Немає"/>
                <w:rFonts w:ascii="Times New Roman" w:hAnsi="Times New Roman" w:hint="default"/>
                <w:b w:val="1"/>
                <w:bCs w:val="1"/>
                <w:caps w:val="1"/>
                <w:sz w:val="24"/>
                <w:szCs w:val="24"/>
                <w:shd w:val="nil" w:color="auto" w:fill="auto"/>
                <w:rtl w:val="0"/>
                <w:lang w:val="en-US"/>
              </w:rPr>
              <w:t>З</w:t>
            </w:r>
            <w:r>
              <w:rPr>
                <w:rStyle w:val="Немає"/>
                <w:rFonts w:ascii="Times New Roman" w:hAnsi="Times New Roman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а шкалою</w:t>
            </w:r>
          </w:p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bidi w:val="0"/>
              <w:spacing w:line="220" w:lineRule="auto"/>
              <w:ind w:left="0" w:right="0" w:firstLine="0"/>
              <w:jc w:val="center"/>
              <w:outlineLvl w:val="1"/>
              <w:rPr>
                <w:rtl w:val="0"/>
              </w:rPr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ECTS</w:t>
            </w:r>
          </w:p>
        </w:tc>
        <w:tc>
          <w:tcPr>
            <w:tcW w:type="dxa" w:w="451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spacing w:line="220" w:lineRule="auto"/>
              <w:jc w:val="center"/>
              <w:outlineLvl w:val="1"/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За шкалою університету</w:t>
            </w:r>
          </w:p>
        </w:tc>
        <w:tc>
          <w:tcPr>
            <w:tcW w:type="dxa" w:w="3999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spacing w:line="220" w:lineRule="auto"/>
              <w:jc w:val="center"/>
              <w:outlineLvl w:val="1"/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За національною шкалою</w:t>
            </w:r>
          </w:p>
        </w:tc>
      </w:tr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51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1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spacing w:line="220" w:lineRule="auto"/>
              <w:jc w:val="center"/>
              <w:outlineLvl w:val="1"/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ru-RU"/>
              </w:rPr>
              <w:t>Екзамен</w:t>
            </w:r>
          </w:p>
        </w:tc>
        <w:tc>
          <w:tcPr>
            <w:tcW w:type="dxa" w:w="18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spacing w:line="220" w:lineRule="auto"/>
              <w:jc w:val="center"/>
              <w:outlineLvl w:val="1"/>
            </w:pPr>
            <w:r>
              <w:rPr>
                <w:rStyle w:val="Немає"/>
                <w:b w:val="1"/>
                <w:bCs w:val="1"/>
                <w:kern w:val="2"/>
                <w:shd w:val="nil" w:color="auto" w:fill="auto"/>
                <w:rtl w:val="0"/>
                <w:lang w:val="en-US"/>
              </w:rPr>
              <w:t>Залік</w:t>
            </w:r>
          </w:p>
        </w:tc>
      </w:tr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A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90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100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відмінно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21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spacing w:line="220" w:lineRule="auto"/>
              <w:jc w:val="center"/>
              <w:outlineLvl w:val="1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5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відмінно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187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keepNext w:val="1"/>
              <w:keepLines w:val="1"/>
              <w:widowControl w:val="0"/>
              <w:suppressAutoHyphens w:val="1"/>
              <w:spacing w:line="220" w:lineRule="auto"/>
              <w:jc w:val="center"/>
              <w:outlineLvl w:val="1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Зараховано</w:t>
            </w:r>
          </w:p>
        </w:tc>
      </w:tr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B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85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89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дуже добре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21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4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добре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C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75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84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добре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21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70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74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задовільно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) </w:t>
            </w:r>
          </w:p>
        </w:tc>
        <w:tc>
          <w:tcPr>
            <w:tcW w:type="dxa" w:w="21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3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задовільно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adfff"/>
        </w:tblPrEx>
        <w:trPr>
          <w:trHeight w:val="390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E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60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69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достатньо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21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adfff"/>
        </w:tblPrEx>
        <w:trPr>
          <w:trHeight w:val="666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FX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35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59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незадовільно – з можливістю повторного складання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21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2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незадовільно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187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Не зараховано</w:t>
            </w:r>
          </w:p>
        </w:tc>
      </w:tr>
      <w:tr>
        <w:tblPrEx>
          <w:shd w:val="clear" w:color="auto" w:fill="cadfff"/>
        </w:tblPrEx>
        <w:trPr>
          <w:trHeight w:val="666" w:hRule="atLeast"/>
        </w:trPr>
        <w:tc>
          <w:tcPr>
            <w:tcW w:type="dxa" w:w="15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en-US"/>
              </w:rPr>
              <w:t>F</w:t>
            </w:r>
          </w:p>
        </w:tc>
        <w:tc>
          <w:tcPr>
            <w:tcW w:type="dxa" w:w="45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03"/>
            </w:tcMar>
            <w:vAlign w:val="center"/>
          </w:tcPr>
          <w:p>
            <w:pPr>
              <w:pStyle w:val="Основний текст A"/>
              <w:widowControl w:val="0"/>
              <w:suppressAutoHyphens w:val="1"/>
              <w:spacing w:line="220" w:lineRule="auto"/>
              <w:ind w:right="223"/>
              <w:jc w:val="center"/>
            </w:pP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 xml:space="preserve">– 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34 (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незадовільно – з обов’язковим повторним курсом</w:t>
            </w:r>
            <w:r>
              <w:rPr>
                <w:rStyle w:val="Немає"/>
                <w:kern w:val="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21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87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</w:tr>
    </w:tbl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</w:rPr>
      </w:pPr>
    </w:p>
    <w:p>
      <w:pPr>
        <w:pStyle w:val="Основний текст A"/>
        <w:widowControl w:val="0"/>
        <w:suppressAutoHyphens w:val="1"/>
        <w:jc w:val="center"/>
        <w:rPr>
          <w:rStyle w:val="Немає"/>
          <w:b w:val="1"/>
          <w:bCs w:val="1"/>
          <w:kern w:val="2"/>
        </w:rPr>
      </w:pPr>
    </w:p>
    <w:p>
      <w:pPr>
        <w:pStyle w:val="Основний текст A"/>
        <w:widowControl w:val="0"/>
        <w:suppressAutoHyphens w:val="1"/>
        <w:ind w:left="756" w:hanging="756"/>
        <w:jc w:val="center"/>
        <w:rPr>
          <w:rStyle w:val="Немає"/>
          <w:b w:val="1"/>
          <w:bCs w:val="1"/>
          <w:kern w:val="2"/>
        </w:rPr>
      </w:pPr>
    </w:p>
    <w:p>
      <w:pPr>
        <w:pStyle w:val="Основний текст A"/>
        <w:widowControl w:val="0"/>
        <w:shd w:val="clear" w:color="auto" w:fill="ffffff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</w:p>
    <w:p>
      <w:pPr>
        <w:pStyle w:val="Основний текст A"/>
        <w:widowControl w:val="0"/>
        <w:shd w:val="clear" w:color="auto" w:fill="ffffff"/>
        <w:suppressAutoHyphens w:val="1"/>
        <w:jc w:val="center"/>
        <w:rPr>
          <w:rStyle w:val="Немає"/>
          <w:kern w:val="2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 xml:space="preserve">6. </w:t>
      </w: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 xml:space="preserve">Основні навчальні ресурси </w:t>
      </w:r>
    </w:p>
    <w:p>
      <w:pPr>
        <w:pStyle w:val="Основний текст A"/>
        <w:widowControl w:val="0"/>
        <w:shd w:val="clear" w:color="auto" w:fill="ffffff"/>
        <w:suppressAutoHyphens w:val="1"/>
        <w:jc w:val="center"/>
        <w:rPr>
          <w:rStyle w:val="Немає"/>
          <w:b w:val="1"/>
          <w:bCs w:val="1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>Рекомендована література</w:t>
      </w:r>
    </w:p>
    <w:p>
      <w:pPr>
        <w:pStyle w:val="Основний текст A"/>
        <w:widowControl w:val="0"/>
        <w:shd w:val="clear" w:color="auto" w:fill="ffffff"/>
        <w:suppressAutoHyphens w:val="1"/>
        <w:rPr>
          <w:rStyle w:val="Немає"/>
          <w:kern w:val="2"/>
        </w:rPr>
      </w:pPr>
      <w:r>
        <w:rPr>
          <w:rStyle w:val="Немає"/>
          <w:b w:val="1"/>
          <w:bCs w:val="1"/>
          <w:kern w:val="2"/>
          <w:rtl w:val="0"/>
          <w:lang w:val="ru-RU"/>
        </w:rPr>
        <w:t>Основна</w:t>
      </w:r>
      <w:r>
        <w:rPr>
          <w:rStyle w:val="Немає"/>
          <w:kern w:val="2"/>
          <w:rtl w:val="0"/>
          <w:lang w:val="ru-RU"/>
        </w:rPr>
        <w:t>: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ru-RU"/>
        </w:rPr>
        <w:t xml:space="preserve">1. </w:t>
      </w:r>
      <w:r>
        <w:rPr>
          <w:rStyle w:val="Немає"/>
          <w:kern w:val="2"/>
          <w:sz w:val="28"/>
          <w:szCs w:val="28"/>
          <w:rtl w:val="0"/>
          <w:lang w:val="ru-RU"/>
        </w:rPr>
        <w:t>Основи формування європейської проєктної культури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: </w:t>
      </w:r>
      <w:r>
        <w:rPr>
          <w:rStyle w:val="Немає"/>
          <w:kern w:val="2"/>
          <w:sz w:val="28"/>
          <w:szCs w:val="28"/>
          <w:rtl w:val="0"/>
          <w:lang w:val="ru-RU"/>
        </w:rPr>
        <w:t>Навчально</w:t>
      </w:r>
      <w:r>
        <w:rPr>
          <w:rStyle w:val="Немає"/>
          <w:kern w:val="2"/>
          <w:sz w:val="28"/>
          <w:szCs w:val="28"/>
          <w:rtl w:val="0"/>
          <w:lang w:val="ru-RU"/>
        </w:rPr>
        <w:t>-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методичний посібник 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/ </w:t>
      </w:r>
      <w:r>
        <w:rPr>
          <w:rStyle w:val="Немає"/>
          <w:kern w:val="2"/>
          <w:sz w:val="28"/>
          <w:szCs w:val="28"/>
          <w:rtl w:val="0"/>
          <w:lang w:val="ru-RU"/>
        </w:rPr>
        <w:t>В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І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Меняйло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В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Тупахіна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І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Гура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В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Л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Сарабєєв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Н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В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Воронова 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/ 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Європейський проєкт </w:t>
      </w:r>
      <w:r>
        <w:rPr>
          <w:rStyle w:val="Немає"/>
          <w:kern w:val="2"/>
          <w:sz w:val="28"/>
          <w:szCs w:val="28"/>
          <w:rtl w:val="0"/>
          <w:lang w:val="ru-RU"/>
        </w:rPr>
        <w:t>EUROPROC (</w:t>
      </w:r>
      <w:r>
        <w:rPr>
          <w:rStyle w:val="Немає"/>
          <w:kern w:val="2"/>
          <w:sz w:val="28"/>
          <w:szCs w:val="28"/>
          <w:rtl w:val="0"/>
          <w:lang w:val="ru-RU"/>
        </w:rPr>
        <w:t>«Європейська проєктна культура»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). </w:t>
      </w:r>
      <w:r>
        <w:rPr>
          <w:rStyle w:val="Немає"/>
          <w:kern w:val="2"/>
          <w:sz w:val="28"/>
          <w:szCs w:val="28"/>
          <w:rtl w:val="0"/>
          <w:lang w:val="ru-RU"/>
        </w:rPr>
        <w:t>ЗНУ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2019. </w:t>
      </w:r>
      <w:r>
        <w:rPr>
          <w:rStyle w:val="Немає"/>
          <w:kern w:val="2"/>
          <w:sz w:val="28"/>
          <w:szCs w:val="28"/>
          <w:rtl w:val="0"/>
          <w:lang w:val="ru-RU"/>
        </w:rPr>
        <w:t>Запоріжжя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: </w:t>
      </w:r>
      <w:r>
        <w:rPr>
          <w:rStyle w:val="Немає"/>
          <w:kern w:val="2"/>
          <w:sz w:val="28"/>
          <w:szCs w:val="28"/>
          <w:rtl w:val="0"/>
          <w:lang w:val="ru-RU"/>
        </w:rPr>
        <w:t>Просвіта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2019. 348 </w:t>
      </w:r>
      <w:r>
        <w:rPr>
          <w:rStyle w:val="Немає"/>
          <w:kern w:val="2"/>
          <w:sz w:val="28"/>
          <w:szCs w:val="28"/>
          <w:rtl w:val="0"/>
          <w:lang w:val="ru-RU"/>
        </w:rPr>
        <w:t>с</w:t>
      </w:r>
      <w:r>
        <w:rPr>
          <w:rStyle w:val="Немає"/>
          <w:kern w:val="2"/>
          <w:sz w:val="28"/>
          <w:szCs w:val="28"/>
          <w:rtl w:val="0"/>
          <w:lang w:val="ru-RU"/>
        </w:rPr>
        <w:t>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ru-RU"/>
        </w:rPr>
        <w:t xml:space="preserve">2. 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Рекомендації з підготовки проектних пропозицій за програмою «Горизонт </w:t>
      </w:r>
      <w:r>
        <w:rPr>
          <w:rStyle w:val="Немає"/>
          <w:kern w:val="2"/>
          <w:sz w:val="28"/>
          <w:szCs w:val="28"/>
          <w:rtl w:val="0"/>
          <w:lang w:val="ru-RU"/>
        </w:rPr>
        <w:t>2020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» 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: </w:t>
      </w:r>
      <w:r>
        <w:rPr>
          <w:rStyle w:val="Немає"/>
          <w:kern w:val="2"/>
          <w:sz w:val="28"/>
          <w:szCs w:val="28"/>
          <w:rtl w:val="0"/>
          <w:lang w:val="ru-RU"/>
        </w:rPr>
        <w:t>методичні вказівки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/ </w:t>
      </w:r>
      <w:r>
        <w:rPr>
          <w:rStyle w:val="Немає"/>
          <w:kern w:val="2"/>
          <w:sz w:val="28"/>
          <w:szCs w:val="28"/>
          <w:rtl w:val="0"/>
          <w:lang w:val="ru-RU"/>
        </w:rPr>
        <w:t>Уклад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.: </w:t>
      </w:r>
      <w:r>
        <w:rPr>
          <w:rStyle w:val="Немає"/>
          <w:kern w:val="2"/>
          <w:sz w:val="28"/>
          <w:szCs w:val="28"/>
          <w:rtl w:val="0"/>
          <w:lang w:val="ru-RU"/>
        </w:rPr>
        <w:t>С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І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Сидоренко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С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М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Шукаєв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М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Зеленська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І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Олешкевич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Романко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І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А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Владимирський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Київ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: </w:t>
      </w:r>
      <w:r>
        <w:rPr>
          <w:rStyle w:val="Немає"/>
          <w:kern w:val="2"/>
          <w:sz w:val="28"/>
          <w:szCs w:val="28"/>
          <w:rtl w:val="0"/>
          <w:lang w:val="ru-RU"/>
        </w:rPr>
        <w:t>НТУУ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«</w:t>
      </w:r>
      <w:r>
        <w:rPr>
          <w:rStyle w:val="Немає"/>
          <w:kern w:val="2"/>
          <w:sz w:val="28"/>
          <w:szCs w:val="28"/>
          <w:rtl w:val="0"/>
          <w:lang w:val="ru-RU"/>
        </w:rPr>
        <w:t>КПІ</w:t>
      </w:r>
      <w:r>
        <w:rPr>
          <w:rStyle w:val="Немає"/>
          <w:kern w:val="2"/>
          <w:sz w:val="28"/>
          <w:szCs w:val="28"/>
          <w:rtl w:val="0"/>
          <w:lang w:val="en-US"/>
        </w:rPr>
        <w:t>»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, 2014. 40 </w:t>
      </w:r>
      <w:r>
        <w:rPr>
          <w:rStyle w:val="Немає"/>
          <w:kern w:val="2"/>
          <w:sz w:val="28"/>
          <w:szCs w:val="28"/>
          <w:rtl w:val="0"/>
          <w:lang w:val="ru-RU"/>
        </w:rPr>
        <w:t>с</w:t>
      </w:r>
      <w:r>
        <w:rPr>
          <w:rStyle w:val="Немає"/>
          <w:kern w:val="2"/>
          <w:sz w:val="28"/>
          <w:szCs w:val="28"/>
          <w:rtl w:val="0"/>
          <w:lang w:val="en-US"/>
        </w:rPr>
        <w:t>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  <w:lang w:val="en-US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>3. Johnson-Sheehan R. Writing Proposals. 2nd edition. URL: https://www.perlego.com/book/4506624/writing-proposals-and-grants</w:t>
      </w:r>
      <w:r>
        <w:rPr>
          <w:rStyle w:val="Немає"/>
          <w:kern w:val="2"/>
          <w:sz w:val="28"/>
          <w:szCs w:val="28"/>
          <w:rtl w:val="0"/>
          <w:lang w:val="en-US"/>
        </w:rPr>
        <w:t>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  <w:lang w:val="en-US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>4. Project Management from Simple to Complex. Minneapolis : University of Minnesota Libraries Publishing, 2016. 408 p.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  <w:lang w:val="en-US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>5. Watt A. Project Management. Victoria : BCCampus, 2014. 220 p.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b w:val="1"/>
          <w:bCs w:val="1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>Додаткова</w:t>
      </w:r>
      <w:r>
        <w:rPr>
          <w:rStyle w:val="Немає"/>
          <w:b w:val="1"/>
          <w:bCs w:val="1"/>
          <w:kern w:val="2"/>
          <w:sz w:val="28"/>
          <w:szCs w:val="28"/>
          <w:rtl w:val="0"/>
          <w:lang w:val="en-US"/>
        </w:rPr>
        <w:t>: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  <w:lang w:val="en-US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>1. Przeworski A. The Art of Writing Proposals: Some Candid Suggestions for Applicants to Social Science Research Council Competitions. URL: https://www.ssc.wisc.edu/gender/wp-content/uploads/2014/04/TheArtofWritingProposals</w:t>
      </w:r>
      <w:r>
        <w:rPr>
          <w:rStyle w:val="Немає"/>
          <w:kern w:val="2"/>
          <w:sz w:val="28"/>
          <w:szCs w:val="28"/>
          <w:rtl w:val="0"/>
          <w:lang w:val="en-US"/>
        </w:rPr>
        <w:t>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  <w:lang w:val="en-US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>2. Writing a fellowship proposal. URL: https://funding.yale.edu/prepare-apply/writing-fellowship-proposal.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b w:val="1"/>
          <w:bCs w:val="1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>Інформаційні ресурси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b w:val="1"/>
          <w:bCs w:val="1"/>
          <w:kern w:val="2"/>
          <w:sz w:val="28"/>
          <w:szCs w:val="28"/>
          <w:rtl w:val="0"/>
          <w:lang w:val="ru-RU"/>
        </w:rPr>
        <w:t>1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ru-RU"/>
        </w:rPr>
        <w:t>Національний Еразмус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+ </w:t>
      </w:r>
      <w:r>
        <w:rPr>
          <w:rStyle w:val="Немає"/>
          <w:kern w:val="2"/>
          <w:sz w:val="28"/>
          <w:szCs w:val="28"/>
          <w:rtl w:val="0"/>
          <w:lang w:val="ru-RU"/>
        </w:rPr>
        <w:t>Офіс в України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en-US"/>
        </w:rPr>
        <w:t>URL: https://erasmusplus.org.ua/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ru-RU"/>
        </w:rPr>
        <w:t xml:space="preserve">2. </w:t>
      </w:r>
      <w:r>
        <w:rPr>
          <w:rStyle w:val="Немає"/>
          <w:kern w:val="2"/>
          <w:sz w:val="28"/>
          <w:szCs w:val="28"/>
          <w:rtl w:val="0"/>
          <w:lang w:val="ru-RU"/>
        </w:rPr>
        <w:t>Державний фонд фундаментальних досліджень</w:t>
      </w:r>
      <w:r>
        <w:rPr>
          <w:rStyle w:val="Немає"/>
          <w:kern w:val="2"/>
          <w:sz w:val="28"/>
          <w:szCs w:val="28"/>
          <w:rtl w:val="0"/>
          <w:lang w:val="ru-RU"/>
        </w:rPr>
        <w:t>. URL: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ru-RU"/>
        </w:rPr>
        <w:t>http://www.dffd.gov.ua/index.php?lang=ua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ru-RU"/>
        </w:rPr>
        <w:t xml:space="preserve">3. </w:t>
      </w:r>
      <w:r>
        <w:rPr>
          <w:rStyle w:val="Немає"/>
          <w:kern w:val="2"/>
          <w:sz w:val="28"/>
          <w:szCs w:val="28"/>
          <w:rtl w:val="0"/>
          <w:lang w:val="ru-RU"/>
        </w:rPr>
        <w:t>Програма академічних обмінів Відділу преси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, </w:t>
      </w:r>
      <w:r>
        <w:rPr>
          <w:rStyle w:val="Немає"/>
          <w:kern w:val="2"/>
          <w:sz w:val="28"/>
          <w:szCs w:val="28"/>
          <w:rtl w:val="0"/>
          <w:lang w:val="ru-RU"/>
        </w:rPr>
        <w:t>освіти і культури Посольства США в Україні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en-US"/>
        </w:rPr>
        <w:t>URL: https://ua.usembassy.gov/uk/education-culture-uk/exchange-programsuk/academic-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  <w:lang w:val="en-US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>exchanges-uk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en-US"/>
        </w:rPr>
        <w:t xml:space="preserve">4. </w:t>
      </w:r>
      <w:r>
        <w:rPr>
          <w:rStyle w:val="Немає"/>
          <w:kern w:val="2"/>
          <w:sz w:val="28"/>
          <w:szCs w:val="28"/>
          <w:rtl w:val="0"/>
          <w:lang w:val="ru-RU"/>
        </w:rPr>
        <w:t>Німецька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</w:t>
      </w:r>
      <w:r>
        <w:rPr>
          <w:rStyle w:val="Немає"/>
          <w:kern w:val="2"/>
          <w:sz w:val="28"/>
          <w:szCs w:val="28"/>
          <w:rtl w:val="0"/>
          <w:lang w:val="ru-RU"/>
        </w:rPr>
        <w:t>служба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</w:t>
      </w:r>
      <w:r>
        <w:rPr>
          <w:rStyle w:val="Немає"/>
          <w:kern w:val="2"/>
          <w:sz w:val="28"/>
          <w:szCs w:val="28"/>
          <w:rtl w:val="0"/>
          <w:lang w:val="ru-RU"/>
        </w:rPr>
        <w:t>академічних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</w:t>
      </w:r>
      <w:r>
        <w:rPr>
          <w:rStyle w:val="Немає"/>
          <w:kern w:val="2"/>
          <w:sz w:val="28"/>
          <w:szCs w:val="28"/>
          <w:rtl w:val="0"/>
          <w:lang w:val="ru-RU"/>
        </w:rPr>
        <w:t>обмінів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DAAD </w:t>
      </w:r>
      <w:r>
        <w:rPr>
          <w:rStyle w:val="Немає"/>
          <w:kern w:val="2"/>
          <w:sz w:val="28"/>
          <w:szCs w:val="28"/>
          <w:rtl w:val="0"/>
          <w:lang w:val="ru-RU"/>
        </w:rPr>
        <w:t>в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 </w:t>
      </w:r>
      <w:r>
        <w:rPr>
          <w:rStyle w:val="Немає"/>
          <w:kern w:val="2"/>
          <w:sz w:val="28"/>
          <w:szCs w:val="28"/>
          <w:rtl w:val="0"/>
          <w:lang w:val="ru-RU"/>
        </w:rPr>
        <w:t>Україні</w:t>
      </w:r>
      <w:r>
        <w:rPr>
          <w:rStyle w:val="Немає"/>
          <w:kern w:val="2"/>
          <w:sz w:val="28"/>
          <w:szCs w:val="28"/>
          <w:rtl w:val="0"/>
          <w:lang w:val="en-US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en-US"/>
        </w:rPr>
        <w:t>URL: http://www.daad.org.ua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  <w:r>
        <w:rPr>
          <w:rStyle w:val="Немає"/>
          <w:kern w:val="2"/>
          <w:sz w:val="28"/>
          <w:szCs w:val="28"/>
          <w:rtl w:val="0"/>
          <w:lang w:val="ru-RU"/>
        </w:rPr>
        <w:t xml:space="preserve">5. </w:t>
      </w:r>
      <w:r>
        <w:rPr>
          <w:rStyle w:val="Немає"/>
          <w:kern w:val="2"/>
          <w:sz w:val="28"/>
          <w:szCs w:val="28"/>
          <w:rtl w:val="0"/>
          <w:lang w:val="ru-RU"/>
        </w:rPr>
        <w:t>Грантовий менеджмент від УКФ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. </w:t>
      </w:r>
      <w:r>
        <w:rPr>
          <w:rStyle w:val="Немає"/>
          <w:kern w:val="2"/>
          <w:sz w:val="28"/>
          <w:szCs w:val="28"/>
          <w:rtl w:val="0"/>
          <w:lang w:val="en-US"/>
        </w:rPr>
        <w:t>URL</w:t>
      </w:r>
      <w:r>
        <w:rPr>
          <w:rStyle w:val="Немає"/>
          <w:kern w:val="2"/>
          <w:sz w:val="28"/>
          <w:szCs w:val="28"/>
          <w:rtl w:val="0"/>
          <w:lang w:val="ru-RU"/>
        </w:rPr>
        <w:t xml:space="preserve">: </w:t>
      </w:r>
      <w:r>
        <w:rPr>
          <w:rStyle w:val="Немає"/>
          <w:kern w:val="2"/>
          <w:sz w:val="28"/>
          <w:szCs w:val="28"/>
          <w:rtl w:val="0"/>
          <w:lang w:val="en-US"/>
        </w:rPr>
        <w:t>https</w:t>
      </w:r>
      <w:r>
        <w:rPr>
          <w:rStyle w:val="Немає"/>
          <w:kern w:val="2"/>
          <w:sz w:val="28"/>
          <w:szCs w:val="28"/>
          <w:rtl w:val="0"/>
          <w:lang w:val="ru-RU"/>
        </w:rPr>
        <w:t>://</w:t>
      </w:r>
      <w:r>
        <w:rPr>
          <w:rStyle w:val="Немає"/>
          <w:kern w:val="2"/>
          <w:sz w:val="28"/>
          <w:szCs w:val="28"/>
          <w:rtl w:val="0"/>
          <w:lang w:val="en-US"/>
        </w:rPr>
        <w:t>ucf</w:t>
      </w:r>
      <w:r>
        <w:rPr>
          <w:rStyle w:val="Немає"/>
          <w:kern w:val="2"/>
          <w:sz w:val="28"/>
          <w:szCs w:val="28"/>
          <w:rtl w:val="0"/>
          <w:lang w:val="ru-RU"/>
        </w:rPr>
        <w:t>.</w:t>
      </w:r>
      <w:r>
        <w:rPr>
          <w:rStyle w:val="Немає"/>
          <w:kern w:val="2"/>
          <w:sz w:val="28"/>
          <w:szCs w:val="28"/>
          <w:rtl w:val="0"/>
          <w:lang w:val="en-US"/>
        </w:rPr>
        <w:t>in</w:t>
      </w:r>
      <w:r>
        <w:rPr>
          <w:rStyle w:val="Немає"/>
          <w:kern w:val="2"/>
          <w:sz w:val="28"/>
          <w:szCs w:val="28"/>
          <w:rtl w:val="0"/>
          <w:lang w:val="ru-RU"/>
        </w:rPr>
        <w:t>.</w:t>
      </w:r>
      <w:r>
        <w:rPr>
          <w:rStyle w:val="Немає"/>
          <w:kern w:val="2"/>
          <w:sz w:val="28"/>
          <w:szCs w:val="28"/>
          <w:rtl w:val="0"/>
          <w:lang w:val="en-US"/>
        </w:rPr>
        <w:t>ua</w:t>
      </w:r>
      <w:r>
        <w:rPr>
          <w:rStyle w:val="Немає"/>
          <w:kern w:val="2"/>
          <w:sz w:val="28"/>
          <w:szCs w:val="28"/>
          <w:rtl w:val="0"/>
          <w:lang w:val="ru-RU"/>
        </w:rPr>
        <w:t>/</w:t>
      </w:r>
      <w:r>
        <w:rPr>
          <w:rStyle w:val="Немає"/>
          <w:kern w:val="2"/>
          <w:sz w:val="28"/>
          <w:szCs w:val="28"/>
          <w:rtl w:val="0"/>
          <w:lang w:val="en-US"/>
        </w:rPr>
        <w:t>p</w:t>
      </w:r>
      <w:r>
        <w:rPr>
          <w:rStyle w:val="Немає"/>
          <w:kern w:val="2"/>
          <w:sz w:val="28"/>
          <w:szCs w:val="28"/>
          <w:rtl w:val="0"/>
          <w:lang w:val="ru-RU"/>
        </w:rPr>
        <w:t>/</w:t>
      </w:r>
      <w:r>
        <w:rPr>
          <w:rStyle w:val="Немає"/>
          <w:kern w:val="2"/>
          <w:sz w:val="28"/>
          <w:szCs w:val="28"/>
          <w:rtl w:val="0"/>
          <w:lang w:val="en-US"/>
        </w:rPr>
        <w:t>management</w:t>
      </w:r>
      <w:r>
        <w:rPr>
          <w:rStyle w:val="Немає"/>
          <w:kern w:val="2"/>
          <w:sz w:val="28"/>
          <w:szCs w:val="28"/>
          <w:rtl w:val="0"/>
          <w:lang w:val="ru-RU"/>
        </w:rPr>
        <w:t>_</w:t>
      </w:r>
      <w:r>
        <w:rPr>
          <w:rStyle w:val="Немає"/>
          <w:kern w:val="2"/>
          <w:sz w:val="28"/>
          <w:szCs w:val="28"/>
          <w:rtl w:val="0"/>
          <w:lang w:val="en-US"/>
        </w:rPr>
        <w:t>lectures</w:t>
      </w:r>
      <w:r>
        <w:rPr>
          <w:rStyle w:val="Немає"/>
          <w:kern w:val="2"/>
          <w:sz w:val="28"/>
          <w:szCs w:val="28"/>
          <w:rtl w:val="0"/>
          <w:lang w:val="ru-RU"/>
        </w:rPr>
        <w:t>.</w:t>
      </w:r>
    </w:p>
    <w:p>
      <w:pPr>
        <w:pStyle w:val="Основний текст A"/>
        <w:widowControl w:val="0"/>
        <w:shd w:val="clear" w:color="auto" w:fill="ffffff"/>
        <w:suppressAutoHyphens w:val="1"/>
        <w:spacing w:line="288" w:lineRule="auto"/>
        <w:ind w:left="253" w:firstLine="0"/>
        <w:jc w:val="both"/>
        <w:rPr>
          <w:rStyle w:val="Немає"/>
          <w:kern w:val="2"/>
          <w:sz w:val="28"/>
          <w:szCs w:val="28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sz w:val="28"/>
          <w:szCs w:val="28"/>
          <w:shd w:val="clear" w:color="auto" w:fill="ffff00"/>
          <w:lang w:val="ru-RU"/>
        </w:rPr>
      </w:pPr>
      <w:r>
        <w:rPr>
          <w:rStyle w:val="Немає"/>
          <w:rFonts w:ascii="Times New Roman" w:hAnsi="Times New Roman"/>
          <w:b w:val="1"/>
          <w:bCs w:val="1"/>
          <w:kern w:val="2"/>
          <w:sz w:val="28"/>
          <w:szCs w:val="28"/>
          <w:rtl w:val="0"/>
          <w:lang w:val="ru-RU"/>
        </w:rPr>
        <w:t xml:space="preserve">7. </w:t>
      </w:r>
      <w:r>
        <w:rPr>
          <w:rStyle w:val="Немає"/>
          <w:rFonts w:ascii="Times New Roman" w:hAnsi="Times New Roman" w:hint="default"/>
          <w:b w:val="1"/>
          <w:bCs w:val="1"/>
          <w:kern w:val="2"/>
          <w:sz w:val="28"/>
          <w:szCs w:val="28"/>
          <w:rtl w:val="0"/>
          <w:lang w:val="ru-RU"/>
        </w:rPr>
        <w:t>Регуляції і політики курсу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sz w:val="22"/>
          <w:szCs w:val="22"/>
          <w:lang w:val="ru-RU"/>
        </w:rPr>
      </w:pPr>
    </w:p>
    <w:p>
      <w:pPr>
        <w:pStyle w:val="Normal.0"/>
        <w:keepNext w:val="1"/>
        <w:keepLines w:val="1"/>
        <w:widowControl w:val="0"/>
        <w:jc w:val="both"/>
        <w:outlineLvl w:val="0"/>
        <w:rPr>
          <w:rStyle w:val="Немає"/>
          <w:b w:val="1"/>
          <w:bCs w:val="1"/>
          <w:lang w:val="ru-RU"/>
          <w14:textOutline w14:w="12700" w14:cap="flat">
            <w14:noFill/>
            <w14:miter w14:lim="400000"/>
          </w14:textOutline>
        </w:rPr>
      </w:pPr>
      <w:r>
        <w:rPr>
          <w:rStyle w:val="Немає"/>
          <w:b w:val="1"/>
          <w:bCs w:val="1"/>
          <w:rtl w:val="0"/>
          <w:lang w:val="ru-RU"/>
          <w14:textOutline w14:w="12700" w14:cap="flat">
            <w14:noFill/>
            <w14:miter w14:lim="400000"/>
          </w14:textOutline>
        </w:rPr>
        <w:t>Відвідування занять</w:t>
      </w:r>
      <w:r>
        <w:rPr>
          <w:rStyle w:val="Немає"/>
          <w:b w:val="1"/>
          <w:bCs w:val="1"/>
          <w:rtl w:val="0"/>
          <w:lang w:val="ru-RU"/>
          <w14:textOutline w14:w="12700" w14:cap="flat">
            <w14:noFill/>
            <w14:miter w14:lim="400000"/>
          </w14:textOutline>
        </w:rPr>
        <w:t xml:space="preserve">. </w:t>
      </w:r>
      <w:r>
        <w:rPr>
          <w:rStyle w:val="Немає"/>
          <w:b w:val="1"/>
          <w:bCs w:val="1"/>
          <w:rtl w:val="0"/>
          <w:lang w:val="ru-RU"/>
          <w14:textOutline w14:w="12700" w14:cap="flat">
            <w14:noFill/>
            <w14:miter w14:lim="400000"/>
          </w14:textOutline>
        </w:rPr>
        <w:t>Регуляція пропусків</w:t>
      </w:r>
      <w:r>
        <w:rPr>
          <w:rStyle w:val="Немає"/>
          <w:b w:val="1"/>
          <w:bCs w:val="1"/>
          <w:rtl w:val="0"/>
          <w:lang w:val="ru-RU"/>
          <w14:textOutline w14:w="12700" w14:cap="flat">
            <w14:noFill/>
            <w14:miter w14:lim="400000"/>
          </w14:textOutline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i w:val="1"/>
          <w:iCs w:val="1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Відвідування усіх занять є обов’язковим</w:t>
      </w:r>
      <w:r>
        <w:rPr>
          <w:rStyle w:val="Немає"/>
          <w:rFonts w:ascii="Times New Roman" w:hAnsi="Times New Roman"/>
          <w:i w:val="1"/>
          <w:i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Студенти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які за певних обставин не можуть відвідувати лабораторні заняття регулярно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мусять впродовж тижня узгодити із викладачем графік індивідуального відпрацювання пропущених занять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Окремі пропущенні завдання мають бути відпрацьовані на консультаціях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Відпрацювання занять здійснюється як в усній формі співбесіди за питаннями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визначеними планом заняття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так і в письмовому вигляді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надіславши виконані плани занять на пошту чи в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Messenger.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За умови систематичних пропусків може бути застосована процедура повторного вивчення дисципліни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Normal.0"/>
        <w:keepNext w:val="1"/>
        <w:keepLines w:val="1"/>
        <w:widowControl w:val="0"/>
        <w:jc w:val="both"/>
        <w:outlineLvl w:val="0"/>
        <w:rPr>
          <w:rStyle w:val="Немає"/>
          <w:b w:val="1"/>
          <w:bCs w:val="1"/>
          <w:lang w:val="ru-RU"/>
          <w14:textOutline w14:w="12700" w14:cap="flat">
            <w14:noFill/>
            <w14:miter w14:lim="400000"/>
          </w14:textOutline>
        </w:rPr>
      </w:pPr>
      <w:r>
        <w:rPr>
          <w:rStyle w:val="Немає"/>
          <w:b w:val="1"/>
          <w:bCs w:val="1"/>
          <w:rtl w:val="0"/>
          <w:lang w:val="ru-RU"/>
          <w14:textOutline w14:w="12700" w14:cap="flat">
            <w14:noFill/>
            <w14:miter w14:lim="400000"/>
          </w14:textOutline>
        </w:rPr>
        <w:t>Політика академічної доброчесності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Засоби перевірки на плагіат – ті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що пропонує інтернет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Приклади оформлення цитувань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посилань на авторів фото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ілюстрацій тощо – це контент друкованих медіа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Використання комп’ютерів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>/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телефонів на занятті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Користуватися мобільними телефонами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ноутбуками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планшетами та іншими персональними гаджетами під час занять можна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якщо це виправдано специфікою навчальних завдань і не пов’язано з намаганнями знайти готову відповідь в інтернеті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Normal.0"/>
        <w:keepNext w:val="1"/>
        <w:keepLines w:val="1"/>
        <w:widowControl w:val="0"/>
        <w:jc w:val="both"/>
        <w:outlineLvl w:val="0"/>
        <w:rPr>
          <w:rStyle w:val="Немає"/>
          <w:b w:val="1"/>
          <w:bCs w:val="1"/>
          <w:lang w:val="ru-RU"/>
          <w14:textOutline w14:w="12700" w14:cap="flat">
            <w14:noFill/>
            <w14:miter w14:lim="400000"/>
          </w14:textOutline>
        </w:rPr>
      </w:pPr>
      <w:r>
        <w:rPr>
          <w:rStyle w:val="Немає"/>
          <w:b w:val="1"/>
          <w:bCs w:val="1"/>
          <w:rtl w:val="0"/>
          <w:lang w:val="ru-RU"/>
          <w14:textOutline w14:w="12700" w14:cap="flat">
            <w14:noFill/>
            <w14:miter w14:lim="400000"/>
          </w14:textOutline>
        </w:rPr>
        <w:t>Комунікація</w:t>
      </w:r>
    </w:p>
    <w:p>
      <w:pPr>
        <w:pStyle w:val="Типовий A"/>
        <w:widowControl w:val="0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i w:val="1"/>
          <w:iCs w:val="1"/>
        </w:rPr>
      </w:pPr>
      <w:r>
        <w:rPr>
          <w:rStyle w:val="Немає"/>
          <w:rFonts w:ascii="Times New Roman" w:hAnsi="Times New Roman" w:hint="default"/>
          <w:rtl w:val="0"/>
          <w:lang w:val="ru-RU"/>
        </w:rPr>
        <w:t xml:space="preserve">Головною платформою комунікації викладача зі студентами є </w:t>
      </w:r>
      <w:r>
        <w:rPr>
          <w:rStyle w:val="Немає"/>
          <w:rFonts w:ascii="Times New Roman" w:hAnsi="Times New Roman"/>
          <w:rtl w:val="0"/>
          <w:lang w:val="en-US"/>
        </w:rPr>
        <w:t>Moodle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>Всі робочі оголошення будуть надіслані через старосту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на електронну на пошту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в особисті повідомлення </w:t>
      </w:r>
      <w:r>
        <w:rPr>
          <w:rStyle w:val="Немає"/>
          <w:rFonts w:ascii="Times New Roman" w:hAnsi="Times New Roman"/>
          <w:rtl w:val="0"/>
          <w:lang w:val="ru-RU"/>
        </w:rPr>
        <w:t>(</w:t>
      </w:r>
      <w:r>
        <w:rPr>
          <w:rStyle w:val="Немає"/>
          <w:rFonts w:ascii="Times New Roman" w:hAnsi="Times New Roman"/>
          <w:rtl w:val="0"/>
          <w:lang w:val="en-US"/>
        </w:rPr>
        <w:t>Viber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/>
          <w:rtl w:val="0"/>
          <w:lang w:val="en-US"/>
        </w:rPr>
        <w:t>Telegram</w:t>
      </w:r>
      <w:r>
        <w:rPr>
          <w:rStyle w:val="Немає"/>
          <w:rFonts w:ascii="Times New Roman" w:hAnsi="Times New Roman"/>
          <w:rtl w:val="0"/>
          <w:lang w:val="ru-RU"/>
        </w:rPr>
        <w:t xml:space="preserve">)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та розміщуватимуться в </w:t>
      </w:r>
      <w:r>
        <w:rPr>
          <w:rStyle w:val="Немає"/>
          <w:rFonts w:ascii="Times New Roman" w:hAnsi="Times New Roman"/>
          <w:rtl w:val="0"/>
          <w:lang w:val="en-US"/>
        </w:rPr>
        <w:t>Moodle</w:t>
      </w:r>
      <w:r>
        <w:rPr>
          <w:rStyle w:val="Немає"/>
          <w:rFonts w:ascii="Times New Roman" w:hAnsi="Times New Roman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Якщо за технічних причин доступ до </w:t>
      </w:r>
      <w:r>
        <w:rPr>
          <w:rStyle w:val="Немає"/>
          <w:rFonts w:ascii="Times New Roman" w:hAnsi="Times New Roman"/>
          <w:rtl w:val="0"/>
          <w:lang w:val="en-US"/>
        </w:rPr>
        <w:t>Moodle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 є неможливим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>або ваше питання потребує термінового розгляду</w:t>
      </w:r>
      <w:r>
        <w:rPr>
          <w:rStyle w:val="Немає"/>
          <w:rFonts w:ascii="Times New Roman" w:hAnsi="Times New Roman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rtl w:val="0"/>
          <w:lang w:val="ru-RU"/>
        </w:rPr>
        <w:t xml:space="preserve">надішліть електронного листа на адресу </w:t>
      </w:r>
      <w:r>
        <w:rPr>
          <w:rStyle w:val="Немає"/>
          <w:rFonts w:ascii="Times New Roman" w:hAnsi="Times New Roman"/>
          <w:rtl w:val="0"/>
          <w:lang w:val="ru-RU"/>
        </w:rPr>
        <w:t>kostyuk_y85@ukr.net/</w:t>
      </w:r>
    </w:p>
    <w:p>
      <w:pPr>
        <w:pStyle w:val="Типовий A"/>
        <w:widowControl w:val="0"/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caps w:val="1"/>
          <w:kern w:val="2"/>
          <w:sz w:val="28"/>
          <w:szCs w:val="28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caps w:val="1"/>
          <w:kern w:val="2"/>
          <w:sz w:val="28"/>
          <w:szCs w:val="28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sz w:val="28"/>
          <w:szCs w:val="28"/>
          <w:rtl w:val="0"/>
          <w:lang w:val="ru-RU"/>
        </w:rPr>
        <w:t>Додаткова інформація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 xml:space="preserve">ГРАФІК ОСВІТНЬОГО ПРОЦЕСУ 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2025-2026 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н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>.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р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доступний за адресою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1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de-DE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1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de-DE"/>
          <w14:textFill>
            <w14:solidFill>
              <w14:srgbClr w14:val="000000"/>
            </w14:solidFill>
          </w14:textFill>
        </w:rPr>
        <w:instrText xml:space="preserve"> HYPERLINK "https://tinyurl.com/yckze4jd"</w:instrText>
      </w:r>
      <w:r>
        <w:rPr>
          <w:rStyle w:val="Hyperlink.1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de-DE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1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de-DE"/>
          <w14:textFill>
            <w14:solidFill>
              <w14:srgbClr w14:val="000000"/>
            </w14:solidFill>
          </w14:textFill>
        </w:rPr>
        <w:t>https://tinyurl.com/yckze4jd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НАВЧАЛЬНИЙ ПРОЦЕС ТА ЗАБЕЗПЕЧЕННЯ ЯКОСТІ ОСВІТИ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Перевірка набутих студентами знань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навичок та вмінь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(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атестації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заліки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іспити та інші форми контролю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)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2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shd w:val="clear" w:color="auto" w:fill="ffffff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2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shd w:val="clear" w:color="auto" w:fill="ffffff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"https://tinyurl.com/y9tve4lk"</w:instrText>
      </w:r>
      <w:r>
        <w:rPr>
          <w:rStyle w:val="Hyperlink.2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shd w:val="clear" w:color="auto" w:fill="ffffff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2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shd w:val="clear" w:color="auto" w:fill="ffffff"/>
          <w:rtl w:val="0"/>
          <w:lang w:val="ru-RU"/>
        </w:rPr>
        <w:t>://</w:t>
      </w:r>
      <w:r>
        <w:rPr>
          <w:rStyle w:val="Hyperlink.2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shd w:val="clear" w:color="auto" w:fill="ffffff"/>
          <w:rtl w:val="0"/>
          <w:lang w:val="ru-RU"/>
        </w:rPr>
        <w:t>.</w:t>
      </w:r>
      <w:r>
        <w:rPr>
          <w:rStyle w:val="Hyperlink.2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shd w:val="clear" w:color="auto" w:fill="ffffff"/>
          <w:rtl w:val="0"/>
          <w:lang w:val="ru-RU"/>
        </w:rPr>
        <w:t>/</w:t>
      </w:r>
      <w:r>
        <w:rPr>
          <w:rStyle w:val="Hyperlink.2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y</w:t>
      </w:r>
      <w:r>
        <w:rPr>
          <w:rStyle w:val="Немає"/>
          <w:rFonts w:ascii="Times New Roman" w:hAnsi="Times New Roman"/>
          <w:kern w:val="2"/>
          <w:u w:val="single"/>
          <w:shd w:val="clear" w:color="auto" w:fill="ffffff"/>
          <w:rtl w:val="0"/>
          <w:lang w:val="ru-RU"/>
        </w:rPr>
        <w:t>9</w:t>
      </w:r>
      <w:r>
        <w:rPr>
          <w:rStyle w:val="Hyperlink.2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tve</w:t>
      </w:r>
      <w:r>
        <w:rPr>
          <w:rStyle w:val="Немає"/>
          <w:rFonts w:ascii="Times New Roman" w:hAnsi="Times New Roman"/>
          <w:kern w:val="2"/>
          <w:u w:val="single"/>
          <w:shd w:val="clear" w:color="auto" w:fill="ffffff"/>
          <w:rtl w:val="0"/>
          <w:lang w:val="ru-RU"/>
        </w:rPr>
        <w:t>4</w:t>
      </w:r>
      <w:r>
        <w:rPr>
          <w:rStyle w:val="Hyperlink.2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lk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shd w:val="clear" w:color="auto" w:fill="ffffff"/>
          <w:rtl w:val="0"/>
          <w:lang w:val="ru-RU"/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ПОВТОРНЕ ВИВЧЕННЯ ДИСЦИПЛІН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ВІДРАХУВАННЯ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Наявність академічної заборгованості до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6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навчальних дисциплін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(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 тому числі проходження практики чи виконання курсової роботи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)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за результатами однієї екзаменаційної сесії є підставою для надання студенту права на повторне вивчення зазначених навчальних дисциплін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Порядок повторного вивчення визначається Положенням про порядок повторного вивчення навчальних дисциплін та повторного навчання у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"https://tinyurl.com/y9pkmmp5"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y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9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pkmmp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5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Підстави та процедури відрахування студентів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у тому числі за невиконання навчального плану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регламентуються Положенням про порядок переведення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відрахування та поновлення студентів у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"https://tinyurl.com/ycds57la"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ycds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57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la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ВИРІШЕННЯ КОНФЛІКТІВ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Порядок і процедури врегулювання конфліктів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пов’язаних із корупційними діями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зіткненням інтересів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різними формами дискримінації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сексуальними домаганнями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міжособистісними стосунками та іншими ситуаціями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що можуть виникнути під час навчання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регламентуються Положенням про порядок і процедури вирішення конфліктних ситуацій у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"https://tinyurl.com/57wha734"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/57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wha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734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Конфліктні ситуації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що виникають у сфері стипендіального забезпечення здобувачів вищої освіти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вирішуються стипендіальними комісіями факультетів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коледжів та університету в межах їх повноважень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відповідно до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Положення про порядок призначення і виплати академічних стипендій у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"https://tinyurl.com/yd6bq6p9"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yd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6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bq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6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p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9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;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Положення про призначення та виплату соціальних стипендій у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"https://tinyurl.com/y9r5dpwh"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y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9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r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5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dpwh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ПСИХОЛОГІЧНА ДОПОМОГА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Телефон довіри практичного психолога 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Марті Ірини Вадимівни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 (061) 228-15-84, (099) 253-78-73 (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щоденно з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9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до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21). 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  <w:bookmarkStart w:name="_Hlk142433006" w:id="8"/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УПОВНОВАЖЕНА ОСОБА З ПИТАНЬ ЗАПОБІГАННЯ ТА ВИЯВЛЕННЯ КОРУПЦІЇ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 Запорізького національного університету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Банах Віктор Аркадійович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Електронна адреса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: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 </w:t>
      </w:r>
      <w:r>
        <w:rPr>
          <w:rStyle w:val="Hyperlink.4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shd w:val="clear" w:color="auto" w:fill="ffffff"/>
          <w:lang w:val="ru-RU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4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shd w:val="clear" w:color="auto" w:fill="ffffff"/>
          <w:lang w:val="ru-RU"/>
          <w14:textFill>
            <w14:solidFill>
              <w14:srgbClr w14:val="000000"/>
            </w14:solidFill>
          </w14:textFill>
        </w:rPr>
        <w:instrText xml:space="preserve"> HYPERLINK "mailto:v_banakh@znu.edu.ua"</w:instrText>
      </w:r>
      <w:r>
        <w:rPr>
          <w:rStyle w:val="Hyperlink.4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shd w:val="clear" w:color="auto" w:fill="ffffff"/>
          <w:lang w:val="ru-RU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4"/>
          <w:rFonts w:ascii="Times New Roman" w:hAnsi="Times New Roman"/>
          <w:outline w:val="0"/>
          <w:color w:val="000000"/>
          <w:kern w:val="2"/>
          <w:u w:val="single" w:color="000000"/>
          <w:shd w:val="clear" w:color="auto" w:fill="ffffff"/>
          <w:rtl w:val="0"/>
          <w:lang w:val="ru-RU"/>
          <w14:textFill>
            <w14:solidFill>
              <w14:srgbClr w14:val="000000"/>
            </w14:solidFill>
          </w14:textFill>
        </w:rPr>
        <w:t>v_banakh@znu.edu.ua</w:t>
      </w:r>
      <w:r>
        <w:rPr>
          <w:lang w:val="ru-RU"/>
        </w:rPr>
        <w:fldChar w:fldCharType="end" w:fldLock="0"/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Гаряча лінія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тел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 </w:t>
      </w:r>
      <w:bookmarkEnd w:id="8"/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 (</w:t>
      </w:r>
      <w:r>
        <w:rPr>
          <w:rStyle w:val="Немає"/>
          <w:rFonts w:ascii="Times New Roman" w:hAnsi="Times New Roman"/>
          <w:kern w:val="2"/>
          <w:shd w:val="clear" w:color="auto" w:fill="ffffff"/>
          <w:rtl w:val="0"/>
          <w:lang w:val="ru-RU"/>
        </w:rPr>
        <w:t xml:space="preserve">061) 227-12-76, </w:t>
      </w:r>
      <w:r>
        <w:rPr>
          <w:rStyle w:val="Немає"/>
          <w:rFonts w:ascii="Times New Roman" w:hAnsi="Times New Roman" w:hint="default"/>
          <w:kern w:val="2"/>
          <w:shd w:val="clear" w:color="auto" w:fill="ffffff"/>
          <w:rtl w:val="0"/>
          <w:lang w:val="ru-RU"/>
        </w:rPr>
        <w:t xml:space="preserve">факс </w:t>
      </w:r>
      <w:r>
        <w:rPr>
          <w:rStyle w:val="Немає"/>
          <w:rFonts w:ascii="Times New Roman" w:hAnsi="Times New Roman"/>
          <w:kern w:val="2"/>
          <w:shd w:val="clear" w:color="auto" w:fill="ffffff"/>
          <w:rtl w:val="0"/>
          <w:lang w:val="ru-RU"/>
        </w:rPr>
        <w:t>227-12-88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 xml:space="preserve"> РІВНІ МОЖЛИВОСТІ ТА ІНКЛЮЗИВНЕ ОСВІТНЄ СЕРЕДОВИЩЕ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Допомога для здійснення входу у разі потреби надається черговими охоронцями навчальних корпусів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Якщо вам потрібна спеціалізована допомога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будь ласка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зателефонуйте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(061) 228-75-11 (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начальник охорони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). 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Порядок супроводу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(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надання допомоги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)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осіб з інвалідністю та інших маломобільних груп населення у 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"https://tinyurl.com/ydhcsagx"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tinyurl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com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ydhcsagx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</w:p>
    <w:p>
      <w:pPr>
        <w:pStyle w:val="Типовий A"/>
        <w:widowControl w:val="0"/>
        <w:suppressAutoHyphens w:val="1"/>
        <w:spacing w:before="0" w:line="240" w:lineRule="auto"/>
        <w:jc w:val="center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>РЕСУРСИ ДЛЯ НАВЧАННЯ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Наукова бібліотека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instrText xml:space="preserve"> HYPERLINK "http://library.znu.edu.ua"</w:instrText>
      </w:r>
      <w:r>
        <w:rPr>
          <w:rStyle w:val="Hyperlink.3"/>
          <w:rFonts w:ascii="Times New Roman" w:cs="Times New Roman" w:hAnsi="Times New Roman" w:eastAsia="Times New Roman"/>
          <w:outline w:val="0"/>
          <w:color w:val="000000"/>
          <w:kern w:val="2"/>
          <w:u w:val="single" w:color="000000"/>
          <w:lang w:val="en-US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http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library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znu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edu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Hyperlink.3"/>
          <w:rFonts w:ascii="Times New Roman" w:hAnsi="Times New Roman"/>
          <w:outline w:val="0"/>
          <w:color w:val="000000"/>
          <w:kern w:val="2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ua</w:t>
      </w:r>
      <w:r>
        <w:rPr/>
        <w:fldChar w:fldCharType="end" w:fldLock="0"/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.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Графік роботи абонементів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понеділок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-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`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ятниця з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08.00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до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16.00;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вихідні дні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субота і неділя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b w:val="1"/>
          <w:bCs w:val="1"/>
          <w:kern w:val="2"/>
        </w:rPr>
      </w:pP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Система ЕЛЕКТРОННого</w:t>
      </w:r>
      <w:r>
        <w:rPr>
          <w:rStyle w:val="Немає"/>
          <w:rFonts w:ascii="Times New Roman" w:hAnsi="Times New Roman" w:hint="default"/>
          <w:b w:val="1"/>
          <w:bCs w:val="1"/>
          <w:kern w:val="2"/>
          <w:rtl w:val="0"/>
          <w:lang w:val="ru-RU"/>
        </w:rPr>
        <w:t xml:space="preserve"> ЗАБЕЗПЕЧЕННЯ НАВЧАННЯ 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>(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en-US"/>
        </w:rPr>
        <w:t>MOODLE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 xml:space="preserve">): 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https://moodle.znu.edu.ua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Якщо забули пароль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/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логін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направте листа з темою «Забув пароль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/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логін» за адресою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/>
          <w:kern w:val="2"/>
          <w:u w:val="single"/>
          <w:shd w:val="clear" w:color="auto" w:fill="ffffff"/>
          <w:rtl w:val="0"/>
          <w:lang w:val="ru-RU"/>
        </w:rPr>
        <w:t>moodle.znu@znu.edu.ua.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У листі вкажіть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прізвище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ім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'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я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по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-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батькові українською мовою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;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шифр групи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;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електронну адресу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lang w:val="ru-RU"/>
        </w:rPr>
      </w:pP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Якщо ви вказували електронну адресу в профілі системи 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Moodle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>ЗНУ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kern w:val="2"/>
          <w:rtl w:val="0"/>
          <w:lang w:val="ru-RU"/>
        </w:rPr>
        <w:t xml:space="preserve">то використовуйте посилання для відновлення паролю 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https://moodle.znu.edu.ua/mod/page/view.php?id=133015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>.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u w:val="single"/>
        </w:rPr>
      </w:pP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Центр інтенсивного вивчення іноземних мов</w:t>
      </w:r>
      <w:r>
        <w:rPr>
          <w:rStyle w:val="Немає"/>
          <w:rFonts w:ascii="Times New Roman" w:hAnsi="Times New Roman"/>
          <w:caps w:val="1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http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://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sites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znu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edu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.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ua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child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-</w:t>
      </w:r>
      <w:r>
        <w:rPr>
          <w:rStyle w:val="Немає"/>
          <w:rFonts w:ascii="Times New Roman" w:hAnsi="Times New Roman"/>
          <w:kern w:val="2"/>
          <w:u w:val="single"/>
          <w:rtl w:val="0"/>
          <w:lang w:val="en-US"/>
        </w:rPr>
        <w:t>advance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/</w:t>
      </w:r>
    </w:p>
    <w:p>
      <w:pPr>
        <w:pStyle w:val="Типовий A"/>
        <w:widowControl w:val="0"/>
        <w:suppressAutoHyphens w:val="1"/>
        <w:spacing w:before="0" w:line="240" w:lineRule="auto"/>
        <w:jc w:val="both"/>
        <w:rPr>
          <w:rStyle w:val="Немає"/>
          <w:rFonts w:ascii="Times New Roman" w:cs="Times New Roman" w:hAnsi="Times New Roman" w:eastAsia="Times New Roman"/>
          <w:kern w:val="2"/>
          <w:u w:val="single"/>
          <w:lang w:val="ru-RU"/>
        </w:rPr>
      </w:pP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Центр німецької мови</w:t>
      </w:r>
      <w:r>
        <w:rPr>
          <w:rStyle w:val="Немає"/>
          <w:rFonts w:ascii="Times New Roman" w:hAnsi="Times New Roman"/>
          <w:b w:val="1"/>
          <w:bCs w:val="1"/>
          <w:caps w:val="1"/>
          <w:kern w:val="2"/>
          <w:rtl w:val="0"/>
          <w:lang w:val="ru-RU"/>
        </w:rPr>
        <w:t xml:space="preserve">, </w:t>
      </w: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партнер Гете</w:t>
      </w:r>
      <w:r>
        <w:rPr>
          <w:rStyle w:val="Немає"/>
          <w:rFonts w:ascii="Times New Roman" w:hAnsi="Times New Roman"/>
          <w:b w:val="1"/>
          <w:bCs w:val="1"/>
          <w:caps w:val="1"/>
          <w:kern w:val="2"/>
          <w:rtl w:val="0"/>
          <w:lang w:val="ru-RU"/>
        </w:rPr>
        <w:t>-</w:t>
      </w: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інституту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/>
          <w:kern w:val="2"/>
          <w:u w:val="single"/>
          <w:rtl w:val="0"/>
          <w:lang w:val="ru-RU"/>
        </w:rPr>
        <w:t>https://www.znu.edu.ua/ukr/edu/ocznu/nim</w:t>
      </w:r>
    </w:p>
    <w:p>
      <w:pPr>
        <w:pStyle w:val="Типовий A"/>
        <w:widowControl w:val="0"/>
        <w:suppressAutoHyphens w:val="1"/>
        <w:spacing w:before="0" w:line="240" w:lineRule="auto"/>
        <w:jc w:val="both"/>
      </w:pP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 xml:space="preserve">Школа Конфуція </w:t>
      </w:r>
      <w:r>
        <w:rPr>
          <w:rStyle w:val="Немає"/>
          <w:rFonts w:ascii="Times New Roman" w:hAnsi="Times New Roman"/>
          <w:b w:val="1"/>
          <w:bCs w:val="1"/>
          <w:caps w:val="1"/>
          <w:kern w:val="2"/>
          <w:rtl w:val="0"/>
          <w:lang w:val="ru-RU"/>
        </w:rPr>
        <w:t>(</w:t>
      </w:r>
      <w:r>
        <w:rPr>
          <w:rStyle w:val="Немає"/>
          <w:rFonts w:ascii="Times New Roman" w:hAnsi="Times New Roman" w:hint="default"/>
          <w:b w:val="1"/>
          <w:bCs w:val="1"/>
          <w:caps w:val="1"/>
          <w:kern w:val="2"/>
          <w:rtl w:val="0"/>
          <w:lang w:val="ru-RU"/>
        </w:rPr>
        <w:t>вивчення китайської мови</w:t>
      </w:r>
      <w:r>
        <w:rPr>
          <w:rStyle w:val="Немає"/>
          <w:rFonts w:ascii="Times New Roman" w:hAnsi="Times New Roman"/>
          <w:b w:val="1"/>
          <w:bCs w:val="1"/>
          <w:kern w:val="2"/>
          <w:rtl w:val="0"/>
          <w:lang w:val="ru-RU"/>
        </w:rPr>
        <w:t>)</w:t>
      </w:r>
      <w:r>
        <w:rPr>
          <w:rStyle w:val="Немає"/>
          <w:rFonts w:ascii="Times New Roman" w:hAnsi="Times New Roman"/>
          <w:kern w:val="2"/>
          <w:rtl w:val="0"/>
          <w:lang w:val="ru-RU"/>
        </w:rPr>
        <w:t xml:space="preserve">: </w:t>
      </w:r>
      <w:r>
        <w:rPr>
          <w:rStyle w:val="Немає"/>
          <w:rFonts w:ascii="Times New Roman" w:hAnsi="Times New Roman"/>
          <w:kern w:val="2"/>
          <w:u w:val="single"/>
          <w:rtl w:val="0"/>
          <w:lang w:val="pt-PT"/>
        </w:rPr>
        <w:t>http://sites.znu.edu.ua/confucius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0" w:author="Роговая Татьяна" w:date="2026-02-27T14:02:00Z">
    <w:p w14:paraId="1111FFFF">
      <w:pPr>
        <w:pStyle w:val="Типовий"/>
        <w:bidi w:val="0"/>
      </w:pPr>
    </w:p>
    <w:p w14:paraId="11120000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>веде на курс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а має саме на повідомлення</w:t>
      </w:r>
    </w:p>
  </w:comment>
  <w:comment w:id="1" w:author="Роговая Татьяна" w:date="2026-02-27T14:02:00Z">
    <w:p w14:paraId="11120001">
      <w:pPr>
        <w:pStyle w:val="Типовий"/>
        <w:bidi w:val="0"/>
      </w:pPr>
    </w:p>
    <w:p w14:paraId="11120002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>так і відсутні пре і постзв’язки</w:t>
      </w:r>
    </w:p>
  </w:comment>
  <w:comment w:id="2" w:author="Роговая Татьяна" w:date="2026-02-27T14:04:00Z">
    <w:p w14:paraId="11120003">
      <w:pPr>
        <w:pStyle w:val="Типовий"/>
        <w:bidi w:val="0"/>
      </w:pPr>
    </w:p>
    <w:p w14:paraId="11120004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>у нас таке не передбачено</w:t>
      </w:r>
    </w:p>
  </w:comment>
  <w:comment w:id="3" w:author="Роговая Татьяна" w:date="2026-02-26T17:39:00Z">
    <w:p w14:paraId="11120005">
      <w:pPr>
        <w:pStyle w:val="Типовий"/>
        <w:bidi w:val="0"/>
      </w:pPr>
    </w:p>
    <w:p w14:paraId="11120006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 xml:space="preserve">Має бути </w:t>
      </w:r>
      <w:r>
        <w:rPr>
          <w:rFonts w:cs="Arial Unicode MS" w:eastAsia="Arial Unicode MS"/>
          <w:rtl w:val="0"/>
        </w:rPr>
        <w:t xml:space="preserve">1 </w:t>
      </w:r>
      <w:r>
        <w:rPr>
          <w:rFonts w:cs="Arial Unicode MS" w:eastAsia="Arial Unicode MS" w:hint="default"/>
          <w:rtl w:val="0"/>
        </w:rPr>
        <w:t>таблиця для структури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де поєднуються усі види роботи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плюс самостійна у тому порядку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як йде</w:t>
      </w:r>
    </w:p>
    <w:p w14:paraId="11120007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>А ДЕ САМОСТІЙНА</w:t>
      </w:r>
      <w:r>
        <w:rPr>
          <w:rFonts w:cs="Arial Unicode MS" w:eastAsia="Arial Unicode MS"/>
          <w:rtl w:val="0"/>
        </w:rPr>
        <w:t>??????</w:t>
      </w:r>
    </w:p>
  </w:comment>
  <w:comment w:id="4" w:author="Роговая Татьяна" w:date="2026-02-27T14:04:00Z">
    <w:p w14:paraId="11120008">
      <w:pPr>
        <w:pStyle w:val="Типовий"/>
        <w:bidi w:val="0"/>
      </w:pPr>
    </w:p>
    <w:p w14:paraId="11120009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 xml:space="preserve">Я ж пишу </w:t>
      </w:r>
      <w:r>
        <w:rPr>
          <w:rFonts w:cs="Arial Unicode MS" w:eastAsia="Arial Unicode MS"/>
          <w:rtl w:val="0"/>
        </w:rPr>
        <w:t xml:space="preserve">1 </w:t>
      </w:r>
      <w:r>
        <w:rPr>
          <w:rFonts w:cs="Arial Unicode MS" w:eastAsia="Arial Unicode MS" w:hint="default"/>
          <w:rtl w:val="0"/>
        </w:rPr>
        <w:t>таблиця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 xml:space="preserve">навіщо </w:t>
      </w:r>
      <w:r>
        <w:rPr>
          <w:rFonts w:cs="Arial Unicode MS" w:eastAsia="Arial Unicode MS"/>
          <w:rtl w:val="0"/>
        </w:rPr>
        <w:t>2???????</w:t>
      </w:r>
    </w:p>
  </w:comment>
  <w:comment w:id="5" w:author="Роговая Татьяна" w:date="2026-02-26T17:40:00Z">
    <w:p w14:paraId="1112000A">
      <w:pPr>
        <w:pStyle w:val="Типовий"/>
        <w:bidi w:val="0"/>
      </w:pPr>
    </w:p>
    <w:p w14:paraId="1112000B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 xml:space="preserve">У вас </w:t>
      </w:r>
      <w:r>
        <w:rPr>
          <w:rFonts w:cs="Arial Unicode MS" w:eastAsia="Arial Unicode MS"/>
          <w:rtl w:val="0"/>
        </w:rPr>
        <w:t xml:space="preserve">1 </w:t>
      </w:r>
      <w:r>
        <w:rPr>
          <w:rFonts w:cs="Arial Unicode MS" w:eastAsia="Arial Unicode MS" w:hint="default"/>
          <w:rtl w:val="0"/>
        </w:rPr>
        <w:t>модуль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тут плюс З велике</w:t>
      </w:r>
    </w:p>
  </w:comment>
  <w:comment w:id="6" w:author="Роговая Татьяна" w:date="2026-02-26T17:42:00Z">
    <w:p w14:paraId="1112000C">
      <w:pPr>
        <w:pStyle w:val="Типовий"/>
        <w:bidi w:val="0"/>
      </w:pPr>
    </w:p>
    <w:p w14:paraId="1112000D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>Додайте якого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де взяти зразок тощо</w:t>
      </w:r>
    </w:p>
  </w:comment>
  <w:comment w:id="7" w:author="Роговая Татьяна" w:date="2026-02-27T14:06:00Z">
    <w:p w14:paraId="1112000E">
      <w:pPr>
        <w:pStyle w:val="Типовий"/>
        <w:bidi w:val="0"/>
      </w:pPr>
    </w:p>
    <w:p w14:paraId="1112000F">
      <w:pPr>
        <w:pStyle w:val="Типовий"/>
        <w:bidi w:val="0"/>
      </w:pPr>
      <w:r>
        <w:rPr>
          <w:rFonts w:cs="Arial Unicode MS" w:eastAsia="Arial Unicode MS" w:hint="default"/>
          <w:rtl w:val="0"/>
        </w:rPr>
        <w:t>Нормальним суцільним текстом напишіть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 w:hint="default"/>
          <w:rtl w:val="0"/>
        </w:rPr>
        <w:t>будь ласка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и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и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українська" w:val="‘“(〔[{〈《「『【⦅〘〖«〝︵︷︹︻︽︿﹁﹃﹇﹙﹛﹝｢"/>
  <w:noLineBreaksBefore w:lang="українська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и">
    <w:name w:val="Колонтитули"/>
    <w:next w:val="Колонтитули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сновний текст A">
    <w:name w:val="Основний текст A"/>
    <w:next w:val="Основний текст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Типовий">
    <w:name w:val="Типовий"/>
    <w:next w:val="Типовий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Типовий A">
    <w:name w:val="Типовий A"/>
    <w:next w:val="Типовий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Немає">
    <w:name w:val="Немає"/>
  </w:style>
  <w:style w:type="character" w:styleId="Hyperlink.0">
    <w:name w:val="Hyperlink.0"/>
    <w:basedOn w:val="Немає"/>
    <w:next w:val="Hyperlink.0"/>
    <w:rPr>
      <w:rFonts w:ascii="Times New Roman" w:cs="Times New Roman" w:hAnsi="Times New Roman" w:eastAsia="Times New Roman"/>
      <w:outline w:val="0"/>
      <w:color w:val="0000ff"/>
      <w:u w:val="single" w:color="0000ff"/>
      <w:shd w:val="nil" w:color="auto" w:fill="auto"/>
      <w:lang w:val="en-US"/>
      <w14:textFill>
        <w14:solidFill>
          <w14:srgbClr w14:val="0000FF"/>
        </w14:solidFill>
      </w14:textFill>
    </w:rPr>
  </w:style>
  <w:style w:type="character" w:styleId="Немає A">
    <w:name w:val="Немає A"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Hyperlink.1">
    <w:name w:val="Hyperlink.1"/>
    <w:basedOn w:val="Немає"/>
    <w:next w:val="Hyperlink.1"/>
    <w:rPr>
      <w:rFonts w:ascii="Times New Roman" w:cs="Times New Roman" w:hAnsi="Times New Roman" w:eastAsia="Times New Roman"/>
      <w:outline w:val="0"/>
      <w:color w:val="000000"/>
      <w:kern w:val="2"/>
      <w:u w:val="single" w:color="000000"/>
      <w:lang w:val="de-DE"/>
      <w14:textFill>
        <w14:solidFill>
          <w14:srgbClr w14:val="000000"/>
        </w14:solidFill>
      </w14:textFill>
    </w:rPr>
  </w:style>
  <w:style w:type="character" w:styleId="Hyperlink.2">
    <w:name w:val="Hyperlink.2"/>
    <w:basedOn w:val="Немає"/>
    <w:next w:val="Hyperlink.2"/>
    <w:rPr>
      <w:rFonts w:ascii="Times New Roman" w:cs="Times New Roman" w:hAnsi="Times New Roman" w:eastAsia="Times New Roman"/>
      <w:outline w:val="0"/>
      <w:color w:val="000000"/>
      <w:kern w:val="2"/>
      <w:u w:val="single" w:color="000000"/>
      <w:shd w:val="clear" w:color="auto" w:fill="ffffff"/>
      <w:lang w:val="en-US"/>
      <w14:textFill>
        <w14:solidFill>
          <w14:srgbClr w14:val="000000"/>
        </w14:solidFill>
      </w14:textFill>
    </w:rPr>
  </w:style>
  <w:style w:type="character" w:styleId="Hyperlink.3">
    <w:name w:val="Hyperlink.3"/>
    <w:basedOn w:val="Немає"/>
    <w:next w:val="Hyperlink.3"/>
    <w:rPr>
      <w:rFonts w:ascii="Times New Roman" w:cs="Times New Roman" w:hAnsi="Times New Roman" w:eastAsia="Times New Roman"/>
      <w:outline w:val="0"/>
      <w:color w:val="000000"/>
      <w:kern w:val="2"/>
      <w:u w:val="single" w:color="000000"/>
      <w:lang w:val="en-US"/>
      <w14:textFill>
        <w14:solidFill>
          <w14:srgbClr w14:val="000000"/>
        </w14:solidFill>
      </w14:textFill>
    </w:rPr>
  </w:style>
  <w:style w:type="character" w:styleId="Hyperlink.4">
    <w:name w:val="Hyperlink.4"/>
    <w:basedOn w:val="Немає"/>
    <w:next w:val="Hyperlink.4"/>
    <w:rPr>
      <w:rFonts w:ascii="Times New Roman" w:cs="Times New Roman" w:hAnsi="Times New Roman" w:eastAsia="Times New Roman"/>
      <w:outline w:val="0"/>
      <w:color w:val="000000"/>
      <w:kern w:val="2"/>
      <w:u w:val="single" w:color="000000"/>
      <w:shd w:val="clear" w:color="auto" w:fill="ffffff"/>
      <w:lang w:val="ru-RU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comments" Target="comments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