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header2.xml" ContentType="application/vnd.openxmlformats-officedocument.wordprocessingml.header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ЗАПОРІЗЬКИЙ НАЦІОНАЛЬНИЙ УНІВЕРСИТЕТ</w:t>
      </w:r>
    </w:p>
    <w:p>
      <w:pPr>
        <w:pStyle w:val="Normal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МАТЕМАТИЧНИЙ ФАКУЛЬТЕТ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ind w:left="4692" w:firstLine="708"/>
        <w:jc w:val="both"/>
        <w:rPr>
          <w:b/>
          <w:b/>
          <w:bCs/>
        </w:rPr>
      </w:pPr>
      <w:r>
        <w:rPr>
          <w:b/>
          <w:bCs/>
        </w:rPr>
        <w:t>ЗАТВЕРДЖУЮ</w:t>
      </w:r>
    </w:p>
    <w:p>
      <w:pPr>
        <w:pStyle w:val="Normal"/>
        <w:ind w:left="5400" w:hanging="0"/>
        <w:rPr/>
      </w:pPr>
      <w:r>
        <w:rPr/>
      </w:r>
    </w:p>
    <w:p>
      <w:pPr>
        <w:pStyle w:val="Normal"/>
        <w:ind w:left="5400" w:hanging="0"/>
        <w:rPr/>
      </w:pPr>
      <w:r>
        <w:rPr/>
        <w:t>Декан математичного факультету ЗНУ</w:t>
      </w:r>
    </w:p>
    <w:p>
      <w:pPr>
        <w:pStyle w:val="Normal"/>
        <w:ind w:left="5400" w:hanging="0"/>
        <w:rPr/>
      </w:pPr>
      <w:r>
        <w:rPr/>
        <w:t>__________        ____</w:t>
      </w:r>
      <w:r>
        <w:rPr>
          <w:u w:val="single"/>
        </w:rPr>
        <w:t>С.І.Гоменюк</w:t>
      </w:r>
      <w:r>
        <w:rPr>
          <w:sz w:val="22"/>
          <w:szCs w:val="22"/>
        </w:rPr>
        <w:t>____</w:t>
      </w:r>
    </w:p>
    <w:p>
      <w:pPr>
        <w:pStyle w:val="Normal"/>
        <w:ind w:left="5400" w:hanging="0"/>
        <w:rPr/>
      </w:pPr>
      <w:r>
        <w:rPr>
          <w:sz w:val="16"/>
          <w:szCs w:val="16"/>
        </w:rPr>
        <w:t xml:space="preserve">            </w:t>
      </w:r>
      <w:r>
        <w:rPr>
          <w:sz w:val="16"/>
          <w:szCs w:val="16"/>
        </w:rPr>
        <w:t xml:space="preserve">(підпис)                        (ініціали та прізвище) </w:t>
      </w:r>
    </w:p>
    <w:p>
      <w:pPr>
        <w:pStyle w:val="Normal"/>
        <w:ind w:left="4692" w:firstLine="708"/>
        <w:jc w:val="both"/>
        <w:rPr/>
      </w:pPr>
      <w:r>
        <w:rPr/>
        <w:t>«______»  _________________  2025р.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СИЛАБУС НАВЧАЛЬНОЇ ДИСЦИПЛІНИ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bCs/>
          <w:cap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t>Сучасні парадигми програмування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підготовки </w:t>
      </w:r>
      <w:r>
        <w:rPr>
          <w:sz w:val="28"/>
          <w:szCs w:val="28"/>
          <w:u w:val="single"/>
        </w:rPr>
        <w:t xml:space="preserve">                         магістр</w:t>
      </w:r>
      <w:r>
        <w:rPr>
          <w:sz w:val="28"/>
          <w:szCs w:val="28"/>
          <w:u w:val="single"/>
          <w:lang w:val="uk-UA"/>
        </w:rPr>
        <w:t xml:space="preserve">ів        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color w:val="FFFFFF"/>
          <w:sz w:val="28"/>
          <w:szCs w:val="28"/>
          <w:u w:val="single"/>
        </w:rPr>
        <w:t>1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денної та заочної форми здобуття освіти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освітньо-професійна програма </w:t>
      </w:r>
      <w:r>
        <w:rPr>
          <w:sz w:val="28"/>
          <w:szCs w:val="28"/>
          <w:u w:val="single"/>
        </w:rPr>
        <w:t xml:space="preserve">      Комп‘ютерні науки           </w:t>
      </w:r>
      <w:r>
        <w:rPr>
          <w:color w:val="FFFFFF"/>
          <w:sz w:val="28"/>
          <w:szCs w:val="28"/>
          <w:u w:val="single"/>
        </w:rPr>
        <w:t>1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спеціальності   </w:t>
      </w:r>
      <w:r>
        <w:rPr>
          <w:sz w:val="28"/>
          <w:szCs w:val="28"/>
          <w:u w:val="single"/>
        </w:rPr>
        <w:t xml:space="preserve">       122 Комп‘ютерні науки         </w:t>
      </w:r>
      <w:r>
        <w:rPr>
          <w:sz w:val="28"/>
          <w:szCs w:val="28"/>
          <w:u w:val="single"/>
          <w:lang w:val="uk-UA"/>
        </w:rPr>
        <w:t xml:space="preserve">       </w:t>
      </w:r>
      <w:r>
        <w:rPr>
          <w:sz w:val="28"/>
          <w:szCs w:val="28"/>
          <w:u w:val="single"/>
        </w:rPr>
        <w:t xml:space="preserve">             </w:t>
      </w:r>
      <w:r>
        <w:rPr>
          <w:color w:val="FFFFFF"/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 xml:space="preserve">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галузі знань </w:t>
      </w:r>
      <w:r>
        <w:rPr>
          <w:sz w:val="28"/>
          <w:szCs w:val="28"/>
          <w:u w:val="single"/>
        </w:rPr>
        <w:t xml:space="preserve">        12 Інформаційні технології        </w:t>
      </w:r>
      <w:r>
        <w:rPr>
          <w:sz w:val="28"/>
          <w:szCs w:val="28"/>
          <w:u w:val="single"/>
          <w:lang w:val="uk-UA"/>
        </w:rPr>
        <w:t xml:space="preserve">          </w:t>
      </w:r>
      <w:r>
        <w:rPr>
          <w:sz w:val="28"/>
          <w:szCs w:val="28"/>
          <w:u w:val="single"/>
        </w:rPr>
        <w:t xml:space="preserve">         </w:t>
      </w:r>
      <w:r>
        <w:rPr>
          <w:color w:val="FFFFFF"/>
          <w:sz w:val="28"/>
          <w:szCs w:val="28"/>
          <w:u w:val="single"/>
        </w:rPr>
        <w:t>1</w:t>
      </w:r>
    </w:p>
    <w:p>
      <w:pPr>
        <w:pStyle w:val="Normal"/>
        <w:rPr>
          <w:b/>
          <w:b/>
          <w:bCs/>
          <w:smallCaps/>
        </w:rPr>
      </w:pPr>
      <w:r>
        <w:rPr>
          <w:b/>
          <w:bCs/>
          <w:smallCaps/>
        </w:rPr>
      </w:r>
    </w:p>
    <w:p>
      <w:pPr>
        <w:pStyle w:val="Normal"/>
        <w:rPr>
          <w:b/>
          <w:b/>
          <w:bCs/>
          <w:smallCaps/>
        </w:rPr>
      </w:pPr>
      <w:r>
        <w:rPr>
          <w:b/>
          <w:bCs/>
          <w:smallCaps/>
        </w:rPr>
      </w:r>
    </w:p>
    <w:p>
      <w:pPr>
        <w:pStyle w:val="Normal"/>
        <w:rPr/>
      </w:pPr>
      <w:r>
        <w:rPr>
          <w:b/>
          <w:bCs/>
          <w:smallCaps/>
        </w:rPr>
        <w:t>ВИКЛАДАЧ</w:t>
      </w:r>
      <w:r>
        <w:rPr>
          <w:b/>
          <w:bCs/>
        </w:rPr>
        <w:t xml:space="preserve">: Добровольський Геннадій Анатолійович, к.т.н,  </w:t>
      </w:r>
      <w:r>
        <w:rPr>
          <w:b/>
          <w:bCs/>
          <w:sz w:val="22"/>
          <w:szCs w:val="22"/>
        </w:rPr>
        <w:t>доцент кафедри комп’ютерних наук</w:t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vertAlign w:val="superscript"/>
        </w:rPr>
      </w:pPr>
      <w:r>
        <w:rPr>
          <w:vertAlign w:val="superscript"/>
        </w:rPr>
      </w:r>
    </w:p>
    <w:p>
      <w:pPr>
        <w:pStyle w:val="Normal"/>
        <w:jc w:val="center"/>
        <w:rPr>
          <w:vertAlign w:val="superscript"/>
        </w:rPr>
      </w:pPr>
      <w:r>
        <w:rPr>
          <w:vertAlign w:val="superscript"/>
        </w:rPr>
      </w:r>
    </w:p>
    <w:p>
      <w:pPr>
        <w:pStyle w:val="Normal"/>
        <w:jc w:val="center"/>
        <w:rPr>
          <w:vertAlign w:val="superscript"/>
        </w:rPr>
      </w:pPr>
      <w:r>
        <w:rPr>
          <w:vertAlign w:val="superscript"/>
        </w:rPr>
      </w:r>
    </w:p>
    <w:tbl>
      <w:tblPr>
        <w:tblStyle w:val="af5"/>
        <w:tblW w:w="9853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111"/>
        <w:gridCol w:w="4741"/>
      </w:tblGrid>
      <w:tr>
        <w:trPr/>
        <w:tc>
          <w:tcPr>
            <w:tcW w:w="5111" w:type="dxa"/>
            <w:tcBorders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Обговорено та ухвалено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на засіданні кафедри комп’ютерних наук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highlight w:val="yellow"/>
              </w:rPr>
              <w:t>Протокол №_</w:t>
            </w:r>
            <w:r>
              <w:rPr>
                <w:highlight w:val="yellow"/>
                <w:u w:val="single"/>
              </w:rPr>
              <w:t>1</w:t>
            </w:r>
            <w:r>
              <w:rPr>
                <w:highlight w:val="yellow"/>
              </w:rPr>
              <w:t>_ від  “_</w:t>
            </w:r>
            <w:r>
              <w:rPr>
                <w:highlight w:val="yellow"/>
                <w:u w:val="single"/>
              </w:rPr>
              <w:t>25</w:t>
            </w:r>
            <w:r>
              <w:rPr>
                <w:highlight w:val="yellow"/>
              </w:rPr>
              <w:t>__”_</w:t>
            </w:r>
            <w:r>
              <w:rPr>
                <w:highlight w:val="yellow"/>
                <w:u w:val="single"/>
              </w:rPr>
              <w:t>серпня</w:t>
            </w:r>
            <w:r>
              <w:rPr>
                <w:highlight w:val="yellow"/>
              </w:rPr>
              <w:t>__</w:t>
            </w:r>
            <w:r>
              <w:rPr/>
              <w:t>202</w:t>
            </w:r>
            <w:r>
              <w:rPr>
                <w:lang w:val="uk-UA"/>
              </w:rPr>
              <w:t>6</w:t>
            </w:r>
            <w:r>
              <w:rPr/>
              <w:t xml:space="preserve"> р.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Завідувач кафедри комп’ютерних наук</w:t>
            </w:r>
          </w:p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____________________</w:t>
            </w:r>
            <w:r>
              <w:rPr>
                <w:u w:val="single"/>
              </w:rPr>
              <w:t>Г. М. Шило</w:t>
            </w:r>
            <w:r>
              <w:rPr/>
              <w:t>__________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vertAlign w:val="superscript"/>
              </w:rPr>
              <w:t xml:space="preserve">         </w:t>
            </w:r>
            <w:r>
              <w:rPr>
                <w:vertAlign w:val="superscript"/>
              </w:rPr>
              <w:t>(підпис)</w:t>
            </w:r>
            <w:r>
              <w:rPr/>
              <w:t xml:space="preserve">                          </w:t>
            </w:r>
            <w:r>
              <w:rPr>
                <w:vertAlign w:val="superscript"/>
              </w:rPr>
              <w:t>(ініціали, прізвище )</w:t>
            </w:r>
          </w:p>
        </w:tc>
        <w:tc>
          <w:tcPr>
            <w:tcW w:w="4741" w:type="dxa"/>
            <w:tcBorders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 xml:space="preserve">     </w:t>
            </w:r>
            <w:r>
              <w:rPr/>
              <w:t>Погоджено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 xml:space="preserve">     </w:t>
            </w:r>
            <w:r>
              <w:rPr/>
              <w:t>Гарант освітньо-професійної програми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_______</w:t>
            </w:r>
            <w:r>
              <w:rPr>
                <w:u w:val="single"/>
              </w:rPr>
              <w:t xml:space="preserve">                      Н.В. Матвіїшина</w:t>
            </w:r>
            <w:r>
              <w:rPr/>
              <w:t>_____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vertAlign w:val="superscript"/>
              </w:rPr>
              <w:t xml:space="preserve">         </w:t>
            </w:r>
            <w:r>
              <w:rPr>
                <w:vertAlign w:val="superscript"/>
              </w:rPr>
              <w:t>(підпис)</w:t>
            </w:r>
            <w:r>
              <w:rPr/>
              <w:t xml:space="preserve">                          </w:t>
            </w:r>
            <w:r>
              <w:rPr>
                <w:vertAlign w:val="superscript"/>
              </w:rPr>
              <w:t>(ініціали, прізвище )</w:t>
            </w:r>
          </w:p>
        </w:tc>
      </w:tr>
    </w:tbl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202</w:t>
      </w:r>
      <w:r>
        <w:rPr>
          <w:b/>
          <w:bCs/>
          <w:color w:val="000000"/>
          <w:sz w:val="28"/>
          <w:szCs w:val="28"/>
          <w:lang w:val="uk-UA"/>
        </w:rPr>
        <w:t>6</w:t>
      </w:r>
      <w:r>
        <w:rPr>
          <w:b/>
          <w:bCs/>
          <w:color w:val="000000"/>
          <w:sz w:val="28"/>
          <w:szCs w:val="28"/>
        </w:rPr>
        <w:t xml:space="preserve"> рік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Зв`язок з викладачем: </w:t>
      </w:r>
      <w:r>
        <w:rPr>
          <w:sz w:val="28"/>
          <w:szCs w:val="28"/>
        </w:rPr>
        <w:t>Добровольський Геннадій Анатолійович</w:t>
      </w:r>
    </w:p>
    <w:p>
      <w:pPr>
        <w:pStyle w:val="Normal"/>
        <w:rPr>
          <w:lang w:val="en-US"/>
        </w:rPr>
      </w:pPr>
      <w:r>
        <w:rPr>
          <w:b/>
          <w:bCs/>
          <w:sz w:val="28"/>
          <w:szCs w:val="28"/>
          <w:lang w:val="en-US"/>
        </w:rPr>
        <w:t xml:space="preserve">E-mail:  </w:t>
      </w:r>
      <w:r>
        <w:rPr>
          <w:sz w:val="28"/>
          <w:szCs w:val="28"/>
          <w:lang w:val="en-US"/>
        </w:rPr>
        <w:t xml:space="preserve"> </w:t>
      </w:r>
      <w:r>
        <w:rPr>
          <w:color w:val="0000FF"/>
          <w:sz w:val="28"/>
          <w:szCs w:val="28"/>
          <w:lang w:val="en-US"/>
        </w:rPr>
        <w:t>gen.dobr@gmail.com</w:t>
      </w:r>
    </w:p>
    <w:p>
      <w:pPr>
        <w:pStyle w:val="Normal"/>
        <w:rPr/>
      </w:pPr>
      <w:r>
        <w:rPr>
          <w:b/>
          <w:bCs/>
          <w:sz w:val="28"/>
          <w:szCs w:val="28"/>
        </w:rPr>
        <w:t>Сезн ЗНУ повідомлення: https://moodle.znu.edu.ua/course/view.php?id=4200</w:t>
      </w:r>
    </w:p>
    <w:p>
      <w:pPr>
        <w:pStyle w:val="Normal"/>
        <w:rPr/>
      </w:pPr>
      <w:r>
        <w:rPr>
          <w:b/>
          <w:bCs/>
          <w:sz w:val="28"/>
          <w:szCs w:val="28"/>
        </w:rPr>
        <w:t>Телефон (кафедра):</w:t>
      </w:r>
      <w:r>
        <w:rPr>
          <w:sz w:val="28"/>
          <w:szCs w:val="28"/>
        </w:rPr>
        <w:t xml:space="preserve"> +38-061-289-12-57</w:t>
      </w:r>
    </w:p>
    <w:p>
      <w:pPr>
        <w:pStyle w:val="Normal"/>
        <w:rPr/>
      </w:pPr>
      <w:r>
        <w:rPr>
          <w:b/>
          <w:bCs/>
          <w:sz w:val="28"/>
          <w:szCs w:val="28"/>
        </w:rPr>
        <w:t xml:space="preserve">Інші засоби зв’язку: </w:t>
      </w:r>
      <w:hyperlink r:id="rId2">
        <w:r>
          <w:rPr>
            <w:color w:val="0000FF"/>
            <w:sz w:val="28"/>
            <w:szCs w:val="28"/>
          </w:rPr>
          <w:t>https://t.me/gen_dobr</w:t>
        </w:r>
      </w:hyperlink>
      <w:r>
        <w:rPr>
          <w:sz w:val="28"/>
          <w:szCs w:val="28"/>
        </w:rPr>
        <w:t xml:space="preserve"> </w:t>
      </w:r>
    </w:p>
    <w:p>
      <w:pPr>
        <w:pStyle w:val="Normal"/>
        <w:rPr/>
      </w:pPr>
      <w:r>
        <w:rPr>
          <w:b/>
          <w:bCs/>
          <w:sz w:val="28"/>
          <w:szCs w:val="28"/>
        </w:rPr>
        <w:t>Кафедра</w:t>
      </w:r>
      <w:r>
        <w:rPr>
          <w:sz w:val="28"/>
          <w:szCs w:val="28"/>
        </w:rPr>
        <w:t xml:space="preserve"> комп’ютерних наук, ауд. №39, 1 корпус ЗНУ</w:t>
      </w:r>
    </w:p>
    <w:p>
      <w:pPr>
        <w:pStyle w:val="Normal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pBdr/>
        <w:spacing w:before="0" w:after="120"/>
        <w:ind w:left="283" w:hanging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Опис навчальної дисципліни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Курс орієнтований на поглиблене вивчення сучасних і перспективних парадигм програмування, їх формальних основ, моделей обчислень та архітектурних наслідків. Особлива увага приділяється теорії типів, конкурентності, реактивним і декларативним підходам, метапрограмуванню та дослідницькому аналізу мов і парадигм.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>Очікувані результати навчання:</w:t>
      </w:r>
      <w:r>
        <w:rPr>
          <w:sz w:val="28"/>
          <w:szCs w:val="28"/>
        </w:rPr>
        <w:t xml:space="preserve"> </w:t>
      </w:r>
    </w:p>
    <w:p>
      <w:pPr>
        <w:pStyle w:val="Normal"/>
        <w:spacing w:before="120"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вміння формально аналізувати парадигми програмування;</w:t>
      </w:r>
    </w:p>
    <w:p>
      <w:pPr>
        <w:pStyle w:val="Normal"/>
        <w:spacing w:before="120"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вміння обґрунтовано обирати моделі обчислень;</w:t>
      </w:r>
    </w:p>
    <w:p>
      <w:pPr>
        <w:pStyle w:val="Normal"/>
        <w:spacing w:before="120"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вміння проєктувати власні абстракції та DSL;</w:t>
      </w:r>
    </w:p>
    <w:p>
      <w:pPr>
        <w:pStyle w:val="Normal"/>
        <w:spacing w:before="120"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застосовувати парадигми у дослідницьких та промислових задачах.</w:t>
      </w:r>
    </w:p>
    <w:p>
      <w:pPr>
        <w:pStyle w:val="Normal"/>
        <w:ind w:left="720" w:hanging="0"/>
        <w:jc w:val="both"/>
        <w:rPr/>
      </w:pPr>
      <w:r>
        <w:rPr/>
      </w:r>
    </w:p>
    <w:p>
      <w:pPr>
        <w:pStyle w:val="Normal"/>
        <w:pBdr/>
        <w:spacing w:before="0" w:after="120"/>
        <w:ind w:left="283" w:hanging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Паспорт навчальної дисципліни</w:t>
      </w:r>
    </w:p>
    <w:tbl>
      <w:tblPr>
        <w:tblStyle w:val="af6"/>
        <w:tblW w:w="9781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3970"/>
        <w:gridCol w:w="2834"/>
        <w:gridCol w:w="2977"/>
      </w:tblGrid>
      <w:tr>
        <w:trPr>
          <w:trHeight w:val="883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Нормативні показники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денна форма </w:t>
              <w:br/>
              <w:t>здобуття освіти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заочна форма </w:t>
              <w:br/>
              <w:t>здобуття освіти</w:t>
            </w:r>
          </w:p>
        </w:tc>
      </w:tr>
      <w:tr>
        <w:trPr>
          <w:trHeight w:val="365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Статус дисципліни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Вибіркова</w:t>
            </w:r>
          </w:p>
        </w:tc>
      </w:tr>
      <w:tr>
        <w:trPr>
          <w:trHeight w:val="243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Семестр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sz w:val="26"/>
                <w:szCs w:val="26"/>
                <w:lang w:val="uk-UA"/>
              </w:rPr>
              <w:t>4</w:t>
            </w:r>
            <w:r>
              <w:rPr>
                <w:sz w:val="26"/>
                <w:szCs w:val="26"/>
              </w:rPr>
              <w:t>-й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sz w:val="26"/>
                <w:szCs w:val="26"/>
                <w:lang w:val="uk-UA"/>
              </w:rPr>
              <w:t>4</w:t>
            </w:r>
            <w:r>
              <w:rPr>
                <w:sz w:val="26"/>
                <w:szCs w:val="26"/>
              </w:rPr>
              <w:t>-й</w:t>
            </w:r>
          </w:p>
        </w:tc>
      </w:tr>
      <w:tr>
        <w:trPr>
          <w:trHeight w:val="511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Кількість кредитів ECTS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5</w:t>
            </w:r>
          </w:p>
        </w:tc>
      </w:tr>
      <w:tr>
        <w:trPr>
          <w:trHeight w:val="364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Кількість годин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sz w:val="26"/>
                <w:szCs w:val="26"/>
              </w:rPr>
              <w:t>180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sz w:val="26"/>
                <w:szCs w:val="26"/>
              </w:rPr>
              <w:t>180</w:t>
            </w:r>
          </w:p>
        </w:tc>
      </w:tr>
      <w:tr>
        <w:trPr>
          <w:trHeight w:val="272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Лекційні заняття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2</w:t>
            </w:r>
            <w:r>
              <w:rPr>
                <w:lang w:val="uk-UA"/>
              </w:rPr>
              <w:t>0</w:t>
            </w:r>
            <w:r>
              <w:rPr/>
              <w:t xml:space="preserve"> год.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lang w:val="uk-UA"/>
              </w:rPr>
              <w:t>6</w:t>
            </w:r>
            <w:r>
              <w:rPr/>
              <w:t xml:space="preserve"> год.</w:t>
            </w:r>
          </w:p>
        </w:tc>
      </w:tr>
      <w:tr>
        <w:trPr>
          <w:trHeight w:val="679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Лабораторні заняття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2</w:t>
            </w:r>
            <w:r>
              <w:rPr>
                <w:lang w:val="uk-UA"/>
              </w:rPr>
              <w:t>0</w:t>
            </w:r>
            <w:r>
              <w:rPr/>
              <w:t xml:space="preserve"> год.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lang w:val="uk-UA"/>
              </w:rPr>
              <w:t>8</w:t>
            </w:r>
            <w:r>
              <w:rPr/>
              <w:t xml:space="preserve"> год.</w:t>
            </w:r>
          </w:p>
        </w:tc>
      </w:tr>
      <w:tr>
        <w:trPr>
          <w:trHeight w:val="317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Самостійна робота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1</w:t>
            </w:r>
            <w:r>
              <w:rPr>
                <w:lang w:val="uk-UA"/>
              </w:rPr>
              <w:t>10</w:t>
            </w:r>
            <w:r>
              <w:rPr/>
              <w:t xml:space="preserve"> год.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1</w:t>
            </w:r>
            <w:r>
              <w:rPr>
                <w:lang w:val="uk-UA"/>
              </w:rPr>
              <w:t>36</w:t>
            </w:r>
            <w:r>
              <w:rPr/>
              <w:t xml:space="preserve"> год.</w:t>
            </w:r>
          </w:p>
        </w:tc>
      </w:tr>
      <w:tr>
        <w:trPr>
          <w:trHeight w:val="606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Консультації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sz w:val="26"/>
                <w:szCs w:val="26"/>
              </w:rPr>
              <w:t>Згідно розкладу: дистанційно: Google Meet: https://meet.google.com/mwp-gbkw-xhk</w:t>
            </w:r>
          </w:p>
        </w:tc>
      </w:tr>
      <w:tr>
        <w:trPr>
          <w:trHeight w:val="485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 підсумкового семестрового контролю: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іспит</w:t>
            </w:r>
          </w:p>
        </w:tc>
      </w:tr>
      <w:tr>
        <w:trPr>
          <w:trHeight w:val="888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6"/>
                <w:szCs w:val="26"/>
                <w:shd w:fill="auto" w:val="clear"/>
              </w:rPr>
              <w:t>Посилання на електронний курс у СЕЗН ЗНУ (платформа Moodle)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highlight w:val="none"/>
                <w:shd w:fill="auto" w:val="clear"/>
              </w:rPr>
            </w:pPr>
            <w:r>
              <w:rPr>
                <w:sz w:val="26"/>
                <w:szCs w:val="26"/>
                <w:shd w:fill="auto" w:val="clear"/>
              </w:rPr>
              <w:t>https://moodle.znu.edu.ua/course/view.php?id=4200</w:t>
            </w:r>
          </w:p>
        </w:tc>
      </w:tr>
    </w:tbl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b/>
          <w:bCs/>
          <w:sz w:val="28"/>
          <w:szCs w:val="28"/>
        </w:rPr>
        <w:t xml:space="preserve">2. Методи досягнення запланованих освітньою програмою компетентностей і результатів навчання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Style w:val="af7"/>
        <w:tblW w:w="9781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4307"/>
        <w:gridCol w:w="3013"/>
        <w:gridCol w:w="2461"/>
      </w:tblGrid>
      <w:tr>
        <w:trPr/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Компетентності/</w:t>
            </w:r>
          </w:p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результати навчання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Методи навчання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Форми і методи оцінювання</w:t>
            </w:r>
          </w:p>
        </w:tc>
      </w:tr>
      <w:tr>
        <w:trPr/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Компетентності</w:t>
            </w:r>
          </w:p>
        </w:tc>
      </w:tr>
      <w:tr>
        <w:trPr>
          <w:trHeight w:val="4574" w:hRule="atLeast"/>
        </w:trPr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СК01 </w:t>
              <w:tab/>
              <w:t>Усвідомлення теоретичних засад комп’ютерних наук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СК03</w:t>
              <w:tab/>
              <w:t>Здатність використовувати математичні методи для аналізу формалізованих моделей предметної області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СК05</w:t>
              <w:tab/>
              <w:t>Здатність розробляти, описувати, аналізувати та оптимізувати архітектурні рішення інформаційних та комп’ютерних систем різного призначення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СК06</w:t>
              <w:tab/>
              <w:t>Здатність застосовувати існуючі і розробляти нові алгоритми розв’язування задач у галузі комп’ютерних наук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лекція-візуалізація, пояснення, демонстрування, дискусія, аналіз, виконання завдань практичних робіт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</w:rPr>
              <w:t>Поточний контроль:</w:t>
            </w:r>
            <w:r>
              <w:rPr/>
              <w:t xml:space="preserve"> захист лабораторних та самостійних робіт, опитування, тестування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</w:rPr>
              <w:t>Підсумковий контроль:</w:t>
            </w:r>
            <w:r>
              <w:rPr/>
              <w:t xml:space="preserve"> тестування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</w:tr>
    </w:tbl>
    <w:tbl>
      <w:tblPr>
        <w:tblStyle w:val="af8"/>
        <w:tblW w:w="9781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4307"/>
        <w:gridCol w:w="3013"/>
        <w:gridCol w:w="2461"/>
      </w:tblGrid>
      <w:tr>
        <w:trPr>
          <w:trHeight w:val="384" w:hRule="atLeast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Результати навчання</w:t>
            </w:r>
          </w:p>
        </w:tc>
      </w:tr>
      <w:tr>
        <w:trPr>
          <w:trHeight w:val="4994" w:hRule="atLeast"/>
        </w:trPr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РН1 Мати спеціалізовані концептуальні знання, що включають сучасні наукові здобутки у сфері комп’ютерних наук і є основою для оригінального мислення та проведення досліджень, критичне осмислення проблем у сфері комп’ютерних наук та на межі галузей знань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РН6 Розробляти концептуальну модель інформаційної або комп’ютерної системи</w:t>
            </w:r>
          </w:p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/>
              <w:t>РН11 Створювати нові алгоритми розв’язування задач у сфері комп’ютерних наук, оцінювати їх ефективність та обмеження на їх застосування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лекція-візуалізація, пояснення, дискусія, аналіз, виконання завдань практичних робіт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</w:rPr>
              <w:t>Поточний контроль:</w:t>
            </w:r>
            <w:r>
              <w:rPr/>
              <w:t xml:space="preserve"> захист лабораторних та самостійних робіт, опитування, тестування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</w:rPr>
              <w:t>Підсумковий контроль:</w:t>
            </w:r>
            <w:r>
              <w:rPr/>
              <w:t xml:space="preserve"> тестування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br w:type="page"/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spacing w:before="0" w:after="120"/>
        <w:ind w:left="357" w:hanging="357"/>
        <w:jc w:val="center"/>
        <w:rPr>
          <w:b/>
          <w:b/>
          <w:bCs/>
          <w:i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3. Зміст навчальної дисципліни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1. Формальні основи парадигм програмування 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Cs/>
          <w:color w:val="000000"/>
          <w:sz w:val="26"/>
          <w:szCs w:val="26"/>
        </w:rPr>
        <w:t>Тема 1.</w:t>
      </w:r>
      <w:r>
        <w:rPr>
          <w:i/>
          <w:iCs/>
          <w:color w:val="000000"/>
          <w:sz w:val="26"/>
          <w:szCs w:val="26"/>
        </w:rPr>
        <w:t xml:space="preserve">  Формальні основи парадигм програмування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Парадигма програмування як формальна модель. Обчислюваність і межі програмування. Операційна, денотаційна та аксіоматична семантика. Коректність програм: часткова та повна. Програми як математичні об’єкти, зв’язок між кодом і формальними моделями.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lang w:val="en-US"/>
        </w:rPr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2. Теорія типів і типоорієнтоване програмування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  <w:lang w:val="en-US"/>
        </w:rPr>
      </w:pPr>
      <w:r>
        <w:rPr>
          <w:iCs/>
          <w:color w:val="000000"/>
          <w:sz w:val="26"/>
          <w:szCs w:val="26"/>
        </w:rPr>
        <w:t>Тема</w:t>
      </w:r>
      <w:r>
        <w:rPr>
          <w:iCs/>
          <w:color w:val="000000"/>
          <w:sz w:val="26"/>
          <w:szCs w:val="26"/>
          <w:lang w:val="en-US"/>
        </w:rPr>
        <w:t xml:space="preserve"> 2.  </w:t>
      </w:r>
      <w:r>
        <w:rPr>
          <w:i/>
          <w:iCs/>
          <w:color w:val="000000"/>
          <w:sz w:val="26"/>
          <w:szCs w:val="26"/>
          <w:lang w:val="en-US"/>
        </w:rPr>
        <w:t>Теорія типів і типоорієнтоване програмування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Алгебраїчні типи даних (ADT). Узагальнені та параметризовані типи.Залежні типи.Типи як специфікації та контракти.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/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3. Поглиблене функціональне програмування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Cs/>
          <w:color w:val="000000"/>
          <w:sz w:val="26"/>
          <w:szCs w:val="26"/>
        </w:rPr>
        <w:t xml:space="preserve">Тема 3. </w:t>
      </w:r>
      <w:r>
        <w:rPr>
          <w:i/>
          <w:iCs/>
          <w:color w:val="000000"/>
          <w:sz w:val="26"/>
          <w:szCs w:val="26"/>
        </w:rPr>
        <w:t>Поглиблене функціональне програмування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Лямбда-числення і стратегії редукції. Монади, аплікативи, функтори. Ефекти та керування побічними ефектами. Категоріальна інтерпретація ФП.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4. Конкурентні та паралельні моделі обчислень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Cs/>
          <w:color w:val="000000"/>
          <w:sz w:val="26"/>
          <w:szCs w:val="26"/>
        </w:rPr>
        <w:t>Тема 4.</w:t>
      </w:r>
      <w:r>
        <w:rPr>
          <w:i/>
          <w:iCs/>
          <w:color w:val="000000"/>
          <w:sz w:val="26"/>
          <w:szCs w:val="26"/>
        </w:rPr>
        <w:t xml:space="preserve"> Конкурентні та паралельні моделі обчислень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Actor Model. CSP і канали обміну повідомленнями. Software Transactional Memory. Моделі пам’яті та happens-before.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5. Реактивні та подійно-орієнтовані системи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Cs/>
          <w:color w:val="000000"/>
          <w:sz w:val="26"/>
          <w:szCs w:val="26"/>
        </w:rPr>
        <w:t>Тема 5.</w:t>
      </w:r>
      <w:r>
        <w:rPr>
          <w:i/>
          <w:iCs/>
          <w:color w:val="000000"/>
          <w:sz w:val="26"/>
          <w:szCs w:val="26"/>
        </w:rPr>
        <w:t xml:space="preserve"> Реактивні та подійно-орієнтовані системи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Reactive programming та reactive streams. Backpressure і керування навантаженням. Event sourcing і CQRS. Функціонально-реактивне програмування (FRP). Застосування: розподілені системи, UI, high-load сервіси.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6. Декларативні та data-oriented парадигми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Cs/>
          <w:color w:val="000000"/>
          <w:sz w:val="26"/>
          <w:szCs w:val="26"/>
        </w:rPr>
        <w:t xml:space="preserve">Тема 6. </w:t>
      </w:r>
      <w:r>
        <w:rPr>
          <w:i/>
          <w:iCs/>
          <w:color w:val="000000"/>
          <w:sz w:val="26"/>
          <w:szCs w:val="26"/>
        </w:rPr>
        <w:t>Декларативні та data-oriented парадигми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Декларативне програмування vs імперативне. Dataflow-моделі. MapReduce як парадигма. Парадигми обробки великих даних.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7. Метапрограмування та проєктування мов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/>
      </w:pPr>
      <w:r>
        <w:rPr>
          <w:iCs/>
          <w:color w:val="000000"/>
          <w:sz w:val="26"/>
          <w:szCs w:val="26"/>
        </w:rPr>
        <w:t>Тема 7.</w:t>
      </w:r>
      <w:r>
        <w:rPr>
          <w:i/>
          <w:iCs/>
          <w:color w:val="000000"/>
          <w:sz w:val="26"/>
          <w:szCs w:val="26"/>
        </w:rPr>
        <w:t xml:space="preserve"> Метапрограмування та проєктування мов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Compile-time та runtime метапрограмування. Макроси та генерація коду. Вбудовані та зовнішні DSL. Основи реалізації інтерпретаторів і компіляторів. 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8. Дослідницькі та перспективні парадигми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Тема 8. </w:t>
      </w:r>
      <w:r>
        <w:rPr>
          <w:i/>
          <w:color w:val="000000"/>
          <w:sz w:val="26"/>
          <w:szCs w:val="26"/>
        </w:rPr>
        <w:t>Дослідницькі та перспективні парадигми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Probabilistic programming. Парадигми в AI та ML-системах. Multi-paradigm languages. Майбутнє програмування: автоматичний синтез програм.</w:t>
      </w:r>
    </w:p>
    <w:p>
      <w:pPr>
        <w:pStyle w:val="Normal"/>
        <w:shd w:val="clear" w:color="auto" w:fill="FFFFFF"/>
        <w:ind w:left="34" w:right="14" w:hanging="0"/>
        <w:jc w:val="both"/>
        <w:rPr/>
      </w:pPr>
      <w:r>
        <w:rPr/>
      </w:r>
    </w:p>
    <w:p>
      <w:pPr>
        <w:pStyle w:val="Normal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</w:r>
      <w:r>
        <w:br w:type="page"/>
      </w:r>
    </w:p>
    <w:p>
      <w:pPr>
        <w:pStyle w:val="Normal"/>
        <w:pBdr/>
        <w:spacing w:lineRule="auto" w:line="276" w:before="0" w:after="140"/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  <w:t xml:space="preserve">4. Структура навчальної дисципліни </w:t>
      </w:r>
    </w:p>
    <w:tbl>
      <w:tblPr>
        <w:tblStyle w:val="af9"/>
        <w:tblW w:w="9599" w:type="dxa"/>
        <w:jc w:val="left"/>
        <w:tblInd w:w="-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559"/>
        <w:gridCol w:w="4818"/>
        <w:gridCol w:w="1702"/>
        <w:gridCol w:w="1519"/>
      </w:tblGrid>
      <w:tr>
        <w:trPr>
          <w:trHeight w:val="793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ind w:left="-70" w:hanging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Вид заняття</w:t>
            </w:r>
          </w:p>
          <w:p>
            <w:pPr>
              <w:pStyle w:val="Normal"/>
              <w:widowControl w:val="false"/>
              <w:spacing w:lineRule="auto" w:line="276"/>
              <w:ind w:left="-70" w:hanging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/роботи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Назва теми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Кількість</w:t>
            </w:r>
          </w:p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  <w:lang w:val="uk-UA"/>
              </w:rPr>
              <w:t>г</w:t>
            </w:r>
            <w:r>
              <w:rPr>
                <w:b/>
                <w:bCs/>
              </w:rPr>
              <w:t>один</w:t>
            </w:r>
            <w:r>
              <w:rPr>
                <w:b/>
                <w:bCs/>
                <w:lang w:val="uk-UA"/>
              </w:rPr>
              <w:t xml:space="preserve">, </w:t>
            </w:r>
            <w:r>
              <w:rPr>
                <w:b/>
                <w:bCs/>
              </w:rPr>
              <w:t>о/д. ф.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Згідно з розкладом</w:t>
            </w:r>
          </w:p>
        </w:tc>
      </w:tr>
      <w:tr>
        <w:trPr>
          <w:trHeight w:val="88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>
        <w:trPr>
          <w:trHeight w:val="435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Лекція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Парадигми програмування як моделі обчислень.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1</w:t>
            </w:r>
          </w:p>
        </w:tc>
      </w:tr>
      <w:tr>
        <w:trPr>
          <w:trHeight w:val="126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Лабораторна робота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/>
            </w:pPr>
            <w:r>
              <w:rPr/>
              <w:t>ЛР1. Формальна семантика простої мови програмування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1</w:t>
            </w:r>
          </w:p>
        </w:tc>
      </w:tr>
      <w:tr>
        <w:trPr>
          <w:trHeight w:val="327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Самостійна робота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/>
            </w:pPr>
            <w:r>
              <w:rPr/>
              <w:t>Парадигми програмування як моделі обчислень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/>
            </w:pPr>
            <w:r>
              <w:rPr/>
              <w:t>Історія та еволюція парадигм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/>
            </w:pPr>
            <w:r>
              <w:rPr/>
              <w:t>Опрацювання лекційних матеріалів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/>
            </w:pPr>
            <w:r>
              <w:rPr/>
              <w:t>Самостійне вивчення термінології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/>
            </w:pPr>
            <w:r>
              <w:rPr/>
              <w:t>Аналіз прикладів різних парадигм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1</w:t>
            </w:r>
          </w:p>
        </w:tc>
      </w:tr>
      <w:tr>
        <w:trPr>
          <w:trHeight w:val="327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Лекція 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Формальні семантики програм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2</w:t>
            </w:r>
          </w:p>
        </w:tc>
      </w:tr>
      <w:tr>
        <w:trPr>
          <w:trHeight w:val="499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Лабораторна робота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ЛР2. Типи як специфікації: проєктування типобезпечного API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2</w:t>
            </w:r>
          </w:p>
        </w:tc>
      </w:tr>
      <w:tr>
        <w:trPr>
          <w:trHeight w:val="565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Самостійна робота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/>
            </w:pPr>
            <w:r>
              <w:rPr/>
              <w:t>Формальні семантики програм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/>
            </w:pPr>
            <w:r>
              <w:rPr/>
              <w:t>Коректність програм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/>
            </w:pPr>
            <w:r>
              <w:rPr/>
              <w:t>Види роботи: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/>
            </w:pPr>
            <w:r>
              <w:rPr/>
              <w:t>Опрацювання операційної та аксіоматичної семантики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/>
            </w:pPr>
            <w:r>
              <w:rPr/>
              <w:t>Розв’язання задач на інваріанти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2</w:t>
            </w:r>
          </w:p>
        </w:tc>
      </w:tr>
      <w:tr>
        <w:trPr>
          <w:trHeight w:val="511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Лекція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Теорія типів: від ADT до dependent types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3</w:t>
            </w:r>
          </w:p>
        </w:tc>
      </w:tr>
      <w:tr>
        <w:trPr>
          <w:trHeight w:val="675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Лабораторна робота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ЛР3. Керування побічними ефектами у функціональному програмуванні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lang w:val="uk-UA"/>
              </w:rPr>
              <w:t>10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3</w:t>
            </w:r>
          </w:p>
        </w:tc>
      </w:tr>
      <w:tr>
        <w:trPr>
          <w:trHeight w:val="675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Самостійна робота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Теорія типів</w:t>
            </w:r>
          </w:p>
          <w:p>
            <w:pPr>
              <w:pStyle w:val="Normal"/>
              <w:widowControl w:val="false"/>
              <w:rPr/>
            </w:pPr>
            <w:r>
              <w:rPr/>
              <w:t>Алгебраїчні типи даних</w:t>
            </w:r>
          </w:p>
          <w:p>
            <w:pPr>
              <w:pStyle w:val="Normal"/>
              <w:widowControl w:val="false"/>
              <w:rPr/>
            </w:pPr>
            <w:r>
              <w:rPr/>
              <w:t>Опрацювання ADT, параметричного поліморфізму</w:t>
            </w:r>
          </w:p>
          <w:p>
            <w:pPr>
              <w:pStyle w:val="Normal"/>
              <w:widowControl w:val="false"/>
              <w:rPr/>
            </w:pPr>
            <w:r>
              <w:rPr/>
              <w:t>Аналіз прикладів типобезпечного дизайну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3</w:t>
            </w:r>
          </w:p>
        </w:tc>
      </w:tr>
      <w:tr>
        <w:trPr>
          <w:trHeight w:val="675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Лекція 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Лямбда-числення та глибоке функціональне програмування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4</w:t>
            </w:r>
          </w:p>
        </w:tc>
      </w:tr>
      <w:tr>
        <w:trPr>
          <w:trHeight w:val="675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Лабораторна робота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ЛР4. Порівняння моделей конкурентних обчислень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/>
              <w:t>2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4</w:t>
            </w:r>
          </w:p>
        </w:tc>
      </w:tr>
      <w:tr>
        <w:trPr>
          <w:trHeight w:val="547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Самостійна робота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Залежні типи</w:t>
            </w:r>
          </w:p>
          <w:p>
            <w:pPr>
              <w:pStyle w:val="Normal"/>
              <w:widowControl w:val="false"/>
              <w:rPr/>
            </w:pPr>
            <w:r>
              <w:rPr/>
              <w:t>Типи як специфікації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Поглиблене вивчення GADT / dependent types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4</w:t>
            </w:r>
          </w:p>
        </w:tc>
      </w:tr>
      <w:tr>
        <w:trPr>
          <w:trHeight w:val="361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Лекція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Конкурентні моделі обчислень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5</w:t>
            </w:r>
          </w:p>
        </w:tc>
      </w:tr>
      <w:tr>
        <w:trPr>
          <w:trHeight w:val="519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Лабораторна робота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ЛР5. Реактивна система з керуванням навантаженням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lang w:val="uk-UA"/>
              </w:rPr>
              <w:t>10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5</w:t>
            </w:r>
          </w:p>
        </w:tc>
      </w:tr>
      <w:tr>
        <w:trPr>
          <w:trHeight w:val="499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Самостійна робота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Лямбда-числення</w:t>
            </w:r>
          </w:p>
          <w:p>
            <w:pPr>
              <w:pStyle w:val="Normal"/>
              <w:widowControl w:val="false"/>
              <w:shd w:val="clear" w:color="auto" w:fill="FFFFFF"/>
              <w:ind w:right="14" w:hanging="0"/>
              <w:jc w:val="both"/>
              <w:rPr/>
            </w:pPr>
            <w:r>
              <w:rPr/>
              <w:t>Монади та ефекти</w:t>
            </w:r>
          </w:p>
          <w:p>
            <w:pPr>
              <w:pStyle w:val="Normal"/>
              <w:widowControl w:val="false"/>
              <w:shd w:val="clear" w:color="auto" w:fill="FFFFFF"/>
              <w:ind w:right="14" w:hanging="0"/>
              <w:jc w:val="both"/>
              <w:rPr/>
            </w:pPr>
            <w:r>
              <w:rPr/>
              <w:t>Аналіз стратегій редукції</w:t>
            </w:r>
          </w:p>
          <w:p>
            <w:pPr>
              <w:pStyle w:val="Normal"/>
              <w:widowControl w:val="false"/>
              <w:shd w:val="clear" w:color="auto" w:fill="FFFFFF"/>
              <w:ind w:right="14" w:hanging="0"/>
              <w:jc w:val="both"/>
              <w:rPr/>
            </w:pPr>
            <w:r>
              <w:rPr/>
              <w:t>Практика керування ефектами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5</w:t>
            </w:r>
          </w:p>
        </w:tc>
      </w:tr>
      <w:tr>
        <w:trPr>
          <w:trHeight w:val="499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Лекція 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Формальна верифікація паралельних систем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6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Лабораторна робота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ЛР6. Проєктування DSL або мінімальної мови програмування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lang w:val="uk-UA"/>
              </w:rPr>
              <w:t>10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6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Самостійна робота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Конкурентні моделі обчислень</w:t>
            </w:r>
          </w:p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Формальні проблеми паралелізму</w:t>
            </w:r>
          </w:p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Аналіз deadlock / race conditions</w:t>
            </w:r>
          </w:p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Порівняння Actor, CSP, STM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6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Лекція 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Reactive та event-driven парадигми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7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Самостійна робота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Верифікація паралельних систем</w:t>
            </w:r>
          </w:p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Happens-before, memory models</w:t>
            </w:r>
          </w:p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Вивчення model checking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7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Лекція 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Декларативні та data-oriented парадигми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8</w:t>
            </w:r>
          </w:p>
        </w:tc>
      </w:tr>
      <w:tr>
        <w:trPr>
          <w:trHeight w:val="294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Самостійна робота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Reactive та event-driven парадигми</w:t>
            </w:r>
          </w:p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Декларативні підходи</w:t>
            </w:r>
          </w:p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Реалізація reactive pipeline</w:t>
            </w:r>
          </w:p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Аналіз backpressure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8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Лекція 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Метапрограмування та проєктування мов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9</w:t>
            </w:r>
          </w:p>
        </w:tc>
      </w:tr>
      <w:tr>
        <w:trPr>
          <w:trHeight w:val="70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Самостійна робота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Метапрограмування</w:t>
            </w:r>
          </w:p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DSL</w:t>
            </w:r>
          </w:p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Аналіз прикладів DSL</w:t>
            </w:r>
          </w:p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/>
            </w:pPr>
            <w:r>
              <w:rPr/>
              <w:t>Проєктування власної міні-мови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9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Лекція 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lang w:val="en-US"/>
              </w:rPr>
            </w:pPr>
            <w:r>
              <w:rPr/>
              <w:t>Перспективні парадигми та майбутнє програмування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10</w:t>
            </w:r>
          </w:p>
        </w:tc>
      </w:tr>
      <w:tr>
        <w:trPr>
          <w:trHeight w:val="70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Самостійна робота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Перспективні парадигми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Підсумок курсу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Підготовка до захисту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Узагальнення матеріалів курсу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тиждень 10</w:t>
            </w:r>
          </w:p>
        </w:tc>
      </w:tr>
    </w:tbl>
    <w:p>
      <w:pPr>
        <w:pStyle w:val="Normal"/>
        <w:pBdr/>
        <w:spacing w:lineRule="auto" w:line="276" w:before="0" w:after="140"/>
        <w:ind w:left="118" w:firstLine="709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"/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Методичні рекомендації до практичних та самостійних занять розміщено СЕЗН ЗНУ Moodle на сторінці дисципліни.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  <w:r>
        <w:br w:type="page"/>
      </w:r>
    </w:p>
    <w:p>
      <w:pPr>
        <w:pStyle w:val="Normal"/>
        <w:ind w:left="927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Види і зміст контрольних заходів </w:t>
      </w:r>
    </w:p>
    <w:p>
      <w:pPr>
        <w:pStyle w:val="Normal"/>
        <w:ind w:left="927" w:hanging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tbl>
      <w:tblPr>
        <w:tblStyle w:val="afa"/>
        <w:tblW w:w="9747" w:type="dxa"/>
        <w:jc w:val="left"/>
        <w:tblInd w:w="2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667"/>
        <w:gridCol w:w="1899"/>
        <w:gridCol w:w="1675"/>
        <w:gridCol w:w="3360"/>
        <w:gridCol w:w="1146"/>
      </w:tblGrid>
      <w:tr>
        <w:trPr>
          <w:trHeight w:val="575" w:hRule="atLeast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заняття/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роботи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контрольного заходу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Зміст контрольного заходу*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Критерії оцінювання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та термін виконання*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Усього балів</w:t>
            </w:r>
          </w:p>
        </w:tc>
      </w:tr>
      <w:tr>
        <w:trPr>
          <w:trHeight w:val="343" w:hRule="atLeast"/>
        </w:trPr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Поточний контроль</w:t>
            </w:r>
          </w:p>
        </w:tc>
      </w:tr>
      <w:tr>
        <w:trPr>
          <w:trHeight w:val="758" w:hRule="atLeast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Практичне заняття №1</w:t>
            </w:r>
            <w:r>
              <w:rPr>
                <w:sz w:val="20"/>
                <w:szCs w:val="20"/>
                <w:lang w:val="uk-UA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uk-UA"/>
              </w:rPr>
              <w:t xml:space="preserve"> 6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34" w:hanging="3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 xml:space="preserve">Лабораторна робота 1 - </w:t>
            </w: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34"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Розміщено в СЕЗН ЗНУ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Повний захист кожного виконаного завдання оцінюється в 5 балів, тільки зданий звіт - 3 бала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60</w:t>
            </w:r>
          </w:p>
        </w:tc>
      </w:tr>
      <w:tr>
        <w:trPr/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Усього за поточний контроль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</w:tr>
      <w:tr>
        <w:trPr/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Підсумковий контроль</w:t>
            </w:r>
          </w:p>
        </w:tc>
      </w:tr>
      <w:tr>
        <w:trPr>
          <w:trHeight w:val="638" w:hRule="atLeast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Залік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Теоретичне завдання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Розміщено в СЕЗН ЗНУ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 w:val="20"/>
                <w:szCs w:val="20"/>
              </w:rPr>
              <w:t xml:space="preserve">40 тестових питань (вибір правильної відповіді з декількох можливих) </w:t>
            </w:r>
            <w:r>
              <w:rPr>
                <w:rFonts w:eastAsia="Noto Sans Symbols" w:cs="Noto Sans Symbols" w:ascii="Noto Sans Symbols" w:hAnsi="Noto Sans Symbols"/>
                <w:color w:val="000000"/>
                <w:sz w:val="20"/>
                <w:szCs w:val="20"/>
              </w:rPr>
              <w:t>−</w:t>
            </w:r>
            <w:r>
              <w:rPr>
                <w:color w:val="000000"/>
                <w:sz w:val="20"/>
                <w:szCs w:val="20"/>
              </w:rPr>
              <w:t xml:space="preserve"> по 0.5 бала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40</w:t>
            </w:r>
            <w:bookmarkStart w:id="0" w:name="_GoBack"/>
          </w:p>
        </w:tc>
      </w:tr>
      <w:tr>
        <w:trPr/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bookmarkEnd w:id="0"/>
            <w:r>
              <w:rPr>
                <w:b/>
                <w:bCs/>
                <w:sz w:val="20"/>
                <w:szCs w:val="20"/>
              </w:rPr>
              <w:t>Усього за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підсумковий контроль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</w:tbl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Шкала оцінювання ЗНУ: національна та ECTS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tbl>
      <w:tblPr>
        <w:tblStyle w:val="afb"/>
        <w:tblW w:w="1000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121"/>
        <w:gridCol w:w="3888"/>
        <w:gridCol w:w="2126"/>
        <w:gridCol w:w="1872"/>
      </w:tblGrid>
      <w:tr>
        <w:trPr>
          <w:trHeight w:val="205" w:hRule="atLeast"/>
          <w:cantSplit w:val="true"/>
        </w:trPr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2"/>
              <w:widowControl w:val="false"/>
              <w:numPr>
                <w:ilvl w:val="1"/>
                <w:numId w:val="1"/>
              </w:numPr>
              <w:spacing w:lineRule="auto" w:line="216" w:before="0" w:after="0"/>
              <w:ind w:left="306" w:hanging="284"/>
              <w:jc w:val="center"/>
              <w:rPr>
                <w:color w:val="auto"/>
              </w:rPr>
            </w:pPr>
            <w:r>
              <w:rPr>
                <w:rFonts w:eastAsia="Times New Roman" w:cs="Times New Roman" w:ascii="Times New Roman" w:hAnsi="Times New Roman"/>
                <w:smallCaps/>
                <w:color w:val="auto"/>
                <w:sz w:val="24"/>
                <w:szCs w:val="24"/>
              </w:rPr>
              <w:t>З</w:t>
            </w: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а шкалою</w:t>
            </w:r>
          </w:p>
          <w:p>
            <w:pPr>
              <w:pStyle w:val="Heading6"/>
              <w:widowControl w:val="false"/>
              <w:numPr>
                <w:ilvl w:val="5"/>
                <w:numId w:val="1"/>
              </w:numPr>
              <w:spacing w:lineRule="auto" w:line="216" w:before="0" w:after="0"/>
              <w:ind w:left="306" w:hanging="284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auto"/>
              </w:rPr>
              <w:t>ECTS</w:t>
            </w:r>
          </w:p>
        </w:tc>
        <w:tc>
          <w:tcPr>
            <w:tcW w:w="3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5"/>
              <w:widowControl w:val="false"/>
              <w:numPr>
                <w:ilvl w:val="4"/>
                <w:numId w:val="1"/>
              </w:numPr>
              <w:spacing w:lineRule="auto" w:line="216" w:before="0" w:after="0"/>
              <w:ind w:left="310" w:right="-108" w:hanging="284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За шкалою університету</w:t>
            </w:r>
          </w:p>
        </w:tc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3"/>
              <w:widowControl w:val="false"/>
              <w:numPr>
                <w:ilvl w:val="2"/>
                <w:numId w:val="1"/>
              </w:numPr>
              <w:tabs>
                <w:tab w:val="clear" w:pos="720"/>
                <w:tab w:val="left" w:pos="249" w:leader="none"/>
              </w:tabs>
              <w:spacing w:lineRule="auto" w:line="216" w:before="0" w:after="0"/>
              <w:ind w:left="249" w:hanging="249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За національною шкалою</w:t>
            </w:r>
          </w:p>
        </w:tc>
      </w:tr>
      <w:tr>
        <w:trPr>
          <w:trHeight w:val="58" w:hRule="atLeast"/>
          <w:cantSplit w:val="true"/>
        </w:trPr>
        <w:tc>
          <w:tcPr>
            <w:tcW w:w="21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38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3"/>
              <w:widowControl w:val="false"/>
              <w:numPr>
                <w:ilvl w:val="2"/>
                <w:numId w:val="1"/>
              </w:numPr>
              <w:tabs>
                <w:tab w:val="clear" w:pos="720"/>
                <w:tab w:val="left" w:pos="249" w:leader="none"/>
              </w:tabs>
              <w:spacing w:lineRule="auto" w:line="216" w:before="0" w:after="0"/>
              <w:ind w:left="249" w:hanging="249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Екзамен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3"/>
              <w:widowControl w:val="false"/>
              <w:numPr>
                <w:ilvl w:val="2"/>
                <w:numId w:val="1"/>
              </w:numPr>
              <w:tabs>
                <w:tab w:val="clear" w:pos="720"/>
                <w:tab w:val="left" w:pos="249" w:leader="none"/>
              </w:tabs>
              <w:spacing w:lineRule="auto" w:line="216" w:before="0" w:after="0"/>
              <w:ind w:left="249" w:hanging="249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Залік</w:t>
            </w:r>
          </w:p>
        </w:tc>
      </w:tr>
      <w:tr>
        <w:trPr>
          <w:cantSplit w:val="true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A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90 – 100 (відмінно)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Heading4"/>
              <w:widowControl w:val="false"/>
              <w:numPr>
                <w:ilvl w:val="3"/>
                <w:numId w:val="1"/>
              </w:numPr>
              <w:tabs>
                <w:tab w:val="clear" w:pos="720"/>
                <w:tab w:val="left" w:pos="249" w:leader="none"/>
              </w:tabs>
              <w:spacing w:lineRule="auto" w:line="216" w:before="0" w:after="0"/>
              <w:ind w:left="249" w:hanging="249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</w:rPr>
              <w:t>5 (відмінно)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Heading4"/>
              <w:widowControl w:val="false"/>
              <w:numPr>
                <w:ilvl w:val="3"/>
                <w:numId w:val="1"/>
              </w:numPr>
              <w:tabs>
                <w:tab w:val="clear" w:pos="720"/>
                <w:tab w:val="left" w:pos="249" w:leader="none"/>
              </w:tabs>
              <w:spacing w:lineRule="auto" w:line="216" w:before="0" w:after="0"/>
              <w:ind w:left="249" w:hanging="249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</w:rPr>
              <w:t>Зараховано</w:t>
            </w:r>
          </w:p>
        </w:tc>
      </w:tr>
      <w:tr>
        <w:trPr>
          <w:cantSplit w:val="true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B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85 – 89 (дуже добре)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54" w:hanging="0"/>
              <w:jc w:val="center"/>
              <w:rPr/>
            </w:pPr>
            <w:r>
              <w:rPr/>
              <w:t>4 (добре)</w:t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C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75 – 84 (добре)</w:t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D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70 – 74 (задовільно)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54" w:hanging="0"/>
              <w:jc w:val="center"/>
              <w:rPr/>
            </w:pPr>
            <w:r>
              <w:rPr/>
              <w:t>3 (задовільно)</w:t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E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60 – 69 (достатньо)</w:t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FX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35 – 59 (незадовільно – з можливістю повторного складання)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54" w:hanging="0"/>
              <w:jc w:val="center"/>
              <w:rPr/>
            </w:pPr>
            <w:r>
              <w:rPr/>
              <w:t>2 (незадовільно)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54" w:hanging="0"/>
              <w:rPr/>
            </w:pPr>
            <w:r>
              <w:rPr/>
              <w:t>Не зараховано</w:t>
            </w:r>
          </w:p>
        </w:tc>
      </w:tr>
      <w:tr>
        <w:trPr>
          <w:cantSplit w:val="true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F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1 – 34 (незадовільно – з обов’язковим повторним курсом)</w:t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</w:tr>
    </w:tbl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Основні навчальні ресурси </w:t>
      </w:r>
    </w:p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Рекомендована література</w:t>
      </w:r>
    </w:p>
    <w:p>
      <w:pPr>
        <w:pStyle w:val="Normal"/>
        <w:numPr>
          <w:ilvl w:val="0"/>
          <w:numId w:val="2"/>
        </w:numPr>
        <w:pBdr/>
        <w:tabs>
          <w:tab w:val="clear" w:pos="720"/>
          <w:tab w:val="left" w:pos="284" w:leader="none"/>
        </w:tabs>
        <w:spacing w:lineRule="auto" w:line="276" w:before="0" w:after="140"/>
        <w:ind w:left="284" w:hanging="284"/>
        <w:jc w:val="both"/>
        <w:rPr>
          <w:color w:val="000000"/>
          <w:lang w:val="en-US"/>
        </w:rPr>
      </w:pPr>
      <w:r>
        <w:rPr>
          <w:color w:val="000000"/>
          <w:lang w:val="en-US"/>
        </w:rPr>
        <w:t>Charpentier M. Functional, Object-Oriented, and Concurrent Programming: Core Concepts and Features / M. Charpentier. − Addison-Wesley Professional, 2022. − 384 с. − ISBN 978-0137466542.</w:t>
      </w:r>
    </w:p>
    <w:p>
      <w:pPr>
        <w:pStyle w:val="Normal"/>
        <w:numPr>
          <w:ilvl w:val="0"/>
          <w:numId w:val="2"/>
        </w:numPr>
        <w:pBdr/>
        <w:tabs>
          <w:tab w:val="clear" w:pos="720"/>
          <w:tab w:val="left" w:pos="284" w:leader="none"/>
        </w:tabs>
        <w:spacing w:lineRule="auto" w:line="276" w:before="0" w:after="140"/>
        <w:ind w:left="284" w:hanging="284"/>
        <w:jc w:val="both"/>
        <w:rPr>
          <w:color w:val="000000"/>
          <w:lang w:val="en-US"/>
        </w:rPr>
      </w:pPr>
      <w:r>
        <w:rPr>
          <w:color w:val="000000"/>
          <w:lang w:val="en-US"/>
        </w:rPr>
        <w:t>Pilquist M., Bjarnason R., Chiusano P. Functional Programming in Scala / Michael Pilquist, Rúnar Bjarnason, Paul Chiusano. − 2-ге вид. − Manning Publications, 2023. − ISBN 978-1617295810.</w:t>
      </w:r>
    </w:p>
    <w:p>
      <w:pPr>
        <w:pStyle w:val="Normal"/>
        <w:numPr>
          <w:ilvl w:val="0"/>
          <w:numId w:val="2"/>
        </w:numPr>
        <w:pBdr/>
        <w:tabs>
          <w:tab w:val="clear" w:pos="720"/>
          <w:tab w:val="left" w:pos="284" w:leader="none"/>
        </w:tabs>
        <w:spacing w:lineRule="auto" w:line="276" w:before="0" w:after="140"/>
        <w:ind w:left="284" w:hanging="284"/>
        <w:jc w:val="both"/>
        <w:rPr>
          <w:color w:val="000000"/>
          <w:lang w:val="en-US"/>
        </w:rPr>
      </w:pPr>
      <w:r>
        <w:rPr>
          <w:color w:val="000000"/>
          <w:lang w:val="en-US"/>
        </w:rPr>
        <w:t>Akka in Action / Francisco Lopez-Sancho, Abraham et al. − 2-ге вид. − Manning Publications, 2023. − ISBN 978-1617298163.</w:t>
      </w:r>
    </w:p>
    <w:p>
      <w:pPr>
        <w:pStyle w:val="Normal"/>
        <w:numPr>
          <w:ilvl w:val="0"/>
          <w:numId w:val="2"/>
        </w:numPr>
        <w:pBdr/>
        <w:tabs>
          <w:tab w:val="clear" w:pos="720"/>
          <w:tab w:val="left" w:pos="284" w:leader="none"/>
        </w:tabs>
        <w:spacing w:lineRule="auto" w:line="276" w:before="0" w:after="140"/>
        <w:ind w:left="284" w:hanging="284"/>
        <w:jc w:val="both"/>
        <w:rPr>
          <w:color w:val="000000"/>
          <w:lang w:val="en-US"/>
        </w:rPr>
      </w:pPr>
      <w:r>
        <w:rPr>
          <w:color w:val="000000"/>
          <w:lang w:val="en-US"/>
        </w:rPr>
        <w:t>Maglie A. Reactive Java Programming / Andrea Maglie. − O’Reilly Media, 2021. − ISBN 978-1492083782.</w:t>
      </w:r>
    </w:p>
    <w:p>
      <w:pPr>
        <w:pStyle w:val="Normal"/>
        <w:pBdr/>
        <w:tabs>
          <w:tab w:val="clear" w:pos="720"/>
          <w:tab w:val="left" w:pos="284" w:leader="none"/>
        </w:tabs>
        <w:spacing w:lineRule="auto" w:line="276" w:before="0" w:after="140"/>
        <w:ind w:hanging="284"/>
        <w:jc w:val="both"/>
        <w:rPr>
          <w:color w:val="000000"/>
          <w:lang w:val="en-US"/>
        </w:rPr>
      </w:pPr>
      <w:r>
        <w:rPr>
          <w:color w:val="000000"/>
          <w:lang w:val="en-US"/>
        </w:rPr>
      </w:r>
    </w:p>
    <w:p>
      <w:pPr>
        <w:pStyle w:val="Normal"/>
        <w:numPr>
          <w:ilvl w:val="0"/>
          <w:numId w:val="2"/>
        </w:numPr>
        <w:pBdr/>
        <w:tabs>
          <w:tab w:val="clear" w:pos="720"/>
          <w:tab w:val="left" w:pos="284" w:leader="none"/>
        </w:tabs>
        <w:spacing w:lineRule="auto" w:line="276" w:before="0" w:after="140"/>
        <w:ind w:left="284" w:hanging="284"/>
        <w:jc w:val="both"/>
        <w:rPr>
          <w:color w:val="000000"/>
          <w:lang w:val="en-US"/>
        </w:rPr>
      </w:pPr>
      <w:r>
        <w:rPr>
          <w:color w:val="000000"/>
          <w:lang w:val="en-US"/>
        </w:rPr>
        <w:t>Jansen R. H. Hands-On Functional Programming with TypeScript: Explore Functional and Reactive Programming to Create Robust and Testable TypeScript Applications / Remo H. Jansen. − Packt Publishing, 2021. − ISBN 978-1839213489.</w:t>
      </w:r>
    </w:p>
    <w:p>
      <w:pPr>
        <w:pStyle w:val="Normal"/>
        <w:numPr>
          <w:ilvl w:val="0"/>
          <w:numId w:val="2"/>
        </w:numPr>
        <w:pBdr/>
        <w:tabs>
          <w:tab w:val="clear" w:pos="720"/>
          <w:tab w:val="left" w:pos="284" w:leader="none"/>
        </w:tabs>
        <w:spacing w:lineRule="auto" w:line="276" w:before="0" w:after="140"/>
        <w:ind w:left="284" w:hanging="284"/>
        <w:jc w:val="both"/>
        <w:rPr>
          <w:color w:val="000000"/>
          <w:lang w:val="en-US"/>
        </w:rPr>
      </w:pPr>
      <w:r>
        <w:rPr>
          <w:color w:val="000000"/>
          <w:lang w:val="en-US"/>
        </w:rPr>
        <w:t>Abelson H., Sussman G. J., Sussman J. Structure and Interpretation of Computer Programs: JavaScript Edition / Harold Abelson, Gerald Jay Sussman, Julie Sussman. − MIT Press, 2022. − 657 с. − ISBN 978-0262537836.</w:t>
      </w:r>
    </w:p>
    <w:p>
      <w:pPr>
        <w:pStyle w:val="Normal"/>
        <w:numPr>
          <w:ilvl w:val="0"/>
          <w:numId w:val="2"/>
        </w:numPr>
        <w:pBdr/>
        <w:tabs>
          <w:tab w:val="clear" w:pos="720"/>
          <w:tab w:val="left" w:pos="284" w:leader="none"/>
        </w:tabs>
        <w:spacing w:lineRule="auto" w:line="276" w:before="0" w:after="140"/>
        <w:ind w:left="284" w:hanging="284"/>
        <w:jc w:val="both"/>
        <w:rPr>
          <w:color w:val="000000"/>
          <w:lang w:val="en-US"/>
        </w:rPr>
      </w:pPr>
      <w:r>
        <w:rPr>
          <w:color w:val="000000"/>
          <w:lang w:val="en-US"/>
        </w:rPr>
        <w:t>Blackheath S., Jones A. Functional Reactive Programming / Stephen Blackheath, Anthony Jones. − Manning Publications, 2020. − ISBN 978-1617292530.</w:t>
      </w:r>
    </w:p>
    <w:p>
      <w:pPr>
        <w:pStyle w:val="Normal"/>
        <w:numPr>
          <w:ilvl w:val="0"/>
          <w:numId w:val="2"/>
        </w:numPr>
        <w:pBdr/>
        <w:tabs>
          <w:tab w:val="clear" w:pos="720"/>
          <w:tab w:val="left" w:pos="284" w:leader="none"/>
        </w:tabs>
        <w:spacing w:lineRule="auto" w:line="276" w:before="0" w:after="140"/>
        <w:ind w:left="284" w:hanging="284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Pilquist M., Bjarnason R., Chiusano P. Functional and Concurrent Programming: Core Concepts and Features / Michael Pilquist et al. − Addison-Wesley Professional, 2022. − ISBN 978-0137466634. </w:t>
      </w:r>
    </w:p>
    <w:p>
      <w:pPr>
        <w:pStyle w:val="Normal"/>
        <w:pBdr/>
        <w:tabs>
          <w:tab w:val="clear" w:pos="720"/>
          <w:tab w:val="left" w:pos="142" w:leader="none"/>
        </w:tabs>
        <w:spacing w:lineRule="auto" w:line="276" w:before="0" w:after="14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Регуляції і політики курсу</w:t>
      </w:r>
    </w:p>
    <w:p>
      <w:pPr>
        <w:pStyle w:val="Normal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</w:p>
    <w:p>
      <w:pPr>
        <w:pStyle w:val="Normal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Відвідування занять. Регуляція пропусків.</w:t>
      </w:r>
    </w:p>
    <w:p>
      <w:pPr>
        <w:pStyle w:val="Normal"/>
        <w:jc w:val="both"/>
        <w:rPr/>
      </w:pPr>
      <w:r>
        <w:rPr>
          <w:color w:val="000000"/>
          <w:sz w:val="26"/>
          <w:szCs w:val="26"/>
        </w:rPr>
        <w:t xml:space="preserve">Відвідування усіх занять є обов’язковим. </w:t>
      </w:r>
      <w:r>
        <w:rPr>
          <w:sz w:val="26"/>
          <w:szCs w:val="26"/>
        </w:rPr>
        <w:t xml:space="preserve">Студенти зобов’язані дотримуватися усіх строків, визначених для виконання усіх видів робіт, передбачених даною дисципліною. Пропуски та запізнення на заняття є недопустимими. </w:t>
      </w:r>
    </w:p>
    <w:p>
      <w:pPr>
        <w:pStyle w:val="Normal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</w:r>
    </w:p>
    <w:p>
      <w:pPr>
        <w:pStyle w:val="Normal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Політика академічної доброчесності</w:t>
      </w:r>
    </w:p>
    <w:p>
      <w:pPr>
        <w:pStyle w:val="Normal"/>
        <w:jc w:val="both"/>
        <w:rPr/>
      </w:pPr>
      <w:r>
        <w:rPr>
          <w:color w:val="000000"/>
          <w:sz w:val="26"/>
          <w:szCs w:val="26"/>
        </w:rPr>
        <w:t xml:space="preserve">Кожний студент зобов’язаний дотримуватися принципів академічної доброчесності. Письмові завдання з використанням часткових або повнотекстових запозичень з інших робіт без зазначення авторства – це </w:t>
      </w:r>
      <w:r>
        <w:rPr>
          <w:i/>
          <w:iCs/>
          <w:color w:val="000000"/>
          <w:sz w:val="26"/>
          <w:szCs w:val="26"/>
        </w:rPr>
        <w:t>плагіат</w:t>
      </w:r>
      <w:r>
        <w:rPr>
          <w:color w:val="000000"/>
          <w:sz w:val="26"/>
          <w:szCs w:val="26"/>
        </w:rPr>
        <w:t>. Використання будь-якої інформації (текст, фото, ілюстрації тощо) мають бути правильно процитовані з посиланням на автора! Якщо ви не впевнені, що таке плагіат, фабрикація, фальсифікація, порадьтеся з викладачем. До студентів, у роботах яких буде виявлено списування, плагіат чи інші прояви недоброчесної поведінки можуть бути застосовані різні дисциплінарні заходи (див. посилання на Кодекс академічної доброчесності ЗНУ в додатку до силабусу).</w:t>
      </w:r>
      <w:r>
        <w:rPr>
          <w:sz w:val="26"/>
          <w:szCs w:val="26"/>
        </w:rPr>
        <w:t xml:space="preserve"> Неприпустиме складання роботи, виконаної іншою особою.</w:t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Використання комп’ютерів/телефонів на занятті</w:t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Використання мобільних телефонів, ноутбуків та інших гаджетів під час лекційних та лабораторних занять дозволяється виключно у навчальних цілях (з активованим режимом «без звуку»).</w:t>
      </w:r>
    </w:p>
    <w:p>
      <w:pPr>
        <w:pStyle w:val="Normal"/>
        <w:jc w:val="both"/>
        <w:rPr>
          <w:color w:val="000000"/>
          <w:sz w:val="26"/>
          <w:szCs w:val="26"/>
          <w:highlight w:val="yellow"/>
        </w:rPr>
      </w:pPr>
      <w:r>
        <w:rPr>
          <w:color w:val="000000"/>
          <w:sz w:val="26"/>
          <w:szCs w:val="26"/>
          <w:highlight w:val="yellow"/>
        </w:rPr>
      </w:r>
    </w:p>
    <w:p>
      <w:pPr>
        <w:pStyle w:val="Normal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Комунікація</w:t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Комунікація викладача зі студентами здійснюється безпосередньо на заняттях та додатково за допомогою месенджерів (наприклад, Telegram), електронної пошти і в СЕЗН Moodle (форум курсу, приватні повідомлення)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jc w:val="center"/>
        <w:rPr>
          <w:b/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ДОДАТКОВА ІНФОРМАЦІЯ</w:t>
      </w:r>
    </w:p>
    <w:p>
      <w:pPr>
        <w:pStyle w:val="Normal"/>
        <w:keepNext w:val="true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keepNext w:val="true"/>
        <w:jc w:val="both"/>
        <w:rPr/>
      </w:pPr>
      <w:r>
        <w:rPr>
          <w:b/>
          <w:bCs/>
          <w:sz w:val="26"/>
          <w:szCs w:val="26"/>
        </w:rPr>
        <w:t>ГРАФІК ОСВІТНЬОГО ПРОЦЕСУ 2025-202</w:t>
      </w:r>
      <w:r>
        <w:rPr>
          <w:b/>
          <w:bCs/>
          <w:sz w:val="26"/>
          <w:szCs w:val="26"/>
          <w:lang w:val="uk-UA"/>
        </w:rPr>
        <w:t>6</w:t>
      </w:r>
      <w:r>
        <w:rPr>
          <w:b/>
          <w:bCs/>
          <w:sz w:val="26"/>
          <w:szCs w:val="26"/>
        </w:rPr>
        <w:t xml:space="preserve"> н. р. </w:t>
      </w:r>
      <w:r>
        <w:rPr>
          <w:sz w:val="26"/>
          <w:szCs w:val="26"/>
        </w:rPr>
        <w:t xml:space="preserve">доступний за адресою: </w:t>
      </w:r>
      <w:hyperlink r:id="rId3">
        <w:r>
          <w:rPr>
            <w:color w:val="000000"/>
            <w:sz w:val="26"/>
            <w:szCs w:val="26"/>
            <w:u w:val="single"/>
          </w:rPr>
          <w:t>https://tinyurl.com/yckze4jd</w:t>
        </w:r>
      </w:hyperlink>
      <w:r>
        <w:rPr>
          <w:sz w:val="26"/>
          <w:szCs w:val="26"/>
        </w:rPr>
        <w:t>.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НАВЧАЛЬНИЙ ПРОЦЕС ТА ЗАБЕЗПЕЧЕННЯ ЯКОСТІ ОСВІТИ. </w:t>
      </w:r>
      <w:r>
        <w:rPr>
          <w:sz w:val="26"/>
          <w:szCs w:val="26"/>
        </w:rPr>
        <w:t xml:space="preserve">Перевірка набутих студентами знань, навичок та вмінь (атестації, заліки, іспити та інші форми контролю) є невід’ємною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ЗНУ: </w:t>
      </w:r>
      <w:hyperlink r:id="rId4">
        <w:r>
          <w:rPr>
            <w:color w:val="000000"/>
            <w:sz w:val="26"/>
            <w:szCs w:val="26"/>
            <w:highlight w:val="white"/>
            <w:u w:val="single"/>
          </w:rPr>
          <w:t>https://tinyurl.com/y9tve4lk</w:t>
        </w:r>
      </w:hyperlink>
      <w:r>
        <w:rPr>
          <w:sz w:val="26"/>
          <w:szCs w:val="26"/>
          <w:highlight w:val="white"/>
        </w:rPr>
        <w:t>.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ПОВТОРНЕ ВИВЧЕННЯ ДИСЦИПЛІН, ВІДРАХУВАННЯ. </w:t>
      </w:r>
      <w:r>
        <w:rPr>
          <w:sz w:val="26"/>
          <w:szCs w:val="26"/>
        </w:rPr>
        <w:t xml:space="preserve">Наявність академічної заборгованості до 6 навчальних дисциплін (в тому числі проходження практики чи виконання курсової роботи) за результатами однієї екзаменаційної сесії є підставою для надання студенту права на повторне вивчення зазначених навчальних дисциплін. Порядок повторного вивчення визначається Положенням про порядок повторного вивчення навчальних дисциплін та повторного навчання у ЗНУ: </w:t>
      </w:r>
      <w:hyperlink r:id="rId5">
        <w:r>
          <w:rPr>
            <w:color w:val="000000"/>
            <w:sz w:val="26"/>
            <w:szCs w:val="26"/>
            <w:u w:val="single"/>
          </w:rPr>
          <w:t>https://tinyurl.com/y9pkmmp5</w:t>
        </w:r>
      </w:hyperlink>
      <w:r>
        <w:rPr>
          <w:sz w:val="26"/>
          <w:szCs w:val="26"/>
        </w:rPr>
        <w:t xml:space="preserve">. Підстави та процедури відрахування студентів, у тому числі за невиконання навчального плану, регламентуються Положенням про порядок переведення, відрахування та поновлення студентів у ЗНУ: </w:t>
      </w:r>
      <w:hyperlink r:id="rId6">
        <w:r>
          <w:rPr>
            <w:color w:val="000000"/>
            <w:sz w:val="26"/>
            <w:szCs w:val="26"/>
            <w:u w:val="single"/>
          </w:rPr>
          <w:t>https://tinyurl.com/ycds57la</w:t>
        </w:r>
      </w:hyperlink>
      <w:r>
        <w:rPr>
          <w:sz w:val="26"/>
          <w:szCs w:val="26"/>
        </w:rPr>
        <w:t>.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ВИРІШЕННЯ КОНФЛІКТІВ. </w:t>
      </w:r>
      <w:r>
        <w:rPr>
          <w:sz w:val="26"/>
          <w:szCs w:val="26"/>
        </w:rPr>
        <w:t xml:space="preserve">Порядок і процедури врегулювання конфліктів, пов’язаних із корупційними діями, зіткненням інтересів, різними формами дискримінації, сексуальними домаганнями, міжособистісними стосунками та іншими ситуаціями, що можуть виникнути під час навчання, регламентуються Положенням про порядок і процедури вирішення конфліктних ситуацій у ЗНУ: </w:t>
      </w:r>
      <w:hyperlink r:id="rId7">
        <w:r>
          <w:rPr>
            <w:color w:val="000000"/>
            <w:sz w:val="26"/>
            <w:szCs w:val="26"/>
            <w:u w:val="single"/>
          </w:rPr>
          <w:t>https://tinyurl.com/57wha734</w:t>
        </w:r>
      </w:hyperlink>
      <w:r>
        <w:rPr>
          <w:sz w:val="26"/>
          <w:szCs w:val="26"/>
        </w:rPr>
        <w:t xml:space="preserve">. Конфліктні ситуації, що виникають у сфері стипендіального забезпечення здобувачів вищої освіти, вирішуються стипендіальними комісіями факультетів, коледжів та університету в межах їх повноважень, відповідно до: Положення про порядок призначення і виплати академічних стипендій у ЗНУ: </w:t>
      </w:r>
      <w:hyperlink r:id="rId8">
        <w:r>
          <w:rPr>
            <w:color w:val="000000"/>
            <w:sz w:val="26"/>
            <w:szCs w:val="26"/>
            <w:u w:val="single"/>
          </w:rPr>
          <w:t>https://tinyurl.com/yd6bq6p9</w:t>
        </w:r>
      </w:hyperlink>
      <w:r>
        <w:rPr>
          <w:sz w:val="26"/>
          <w:szCs w:val="26"/>
        </w:rPr>
        <w:t xml:space="preserve">; Положення про призначення та виплату соціальних стипендій у ЗНУ: </w:t>
      </w:r>
      <w:hyperlink r:id="rId9">
        <w:r>
          <w:rPr>
            <w:color w:val="000000"/>
            <w:sz w:val="26"/>
            <w:szCs w:val="26"/>
            <w:u w:val="single"/>
          </w:rPr>
          <w:t>https://tinyurl.com/y9r5dpwh</w:t>
        </w:r>
      </w:hyperlink>
      <w:r>
        <w:rPr>
          <w:sz w:val="26"/>
          <w:szCs w:val="26"/>
        </w:rPr>
        <w:t xml:space="preserve">. 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ПСИХОЛОГІЧНА ДОПОМОГА. </w:t>
      </w:r>
      <w:r>
        <w:rPr>
          <w:sz w:val="26"/>
          <w:szCs w:val="26"/>
        </w:rPr>
        <w:t xml:space="preserve">Телефон довіри практичного психолога </w:t>
      </w:r>
      <w:r>
        <w:rPr>
          <w:b/>
          <w:bCs/>
          <w:sz w:val="26"/>
          <w:szCs w:val="26"/>
        </w:rPr>
        <w:t>Марті Ірини Вадимівни</w:t>
      </w:r>
      <w:r>
        <w:rPr>
          <w:sz w:val="26"/>
          <w:szCs w:val="26"/>
        </w:rPr>
        <w:t xml:space="preserve"> (061) 228-15-84, (099) 253-78-73 (щоденно з 9 до 21). 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>УПОВНОВАЖЕНА ОСОБА З ПИТАНЬ ЗАПОБІГАННЯ ТА ВИЯВЛЕННЯ КОРУПЦІЇ</w:t>
      </w:r>
      <w:r>
        <w:rPr>
          <w:sz w:val="26"/>
          <w:szCs w:val="26"/>
        </w:rPr>
        <w:t xml:space="preserve"> Запорізького національного університету: </w:t>
      </w:r>
      <w:r>
        <w:rPr>
          <w:b/>
          <w:bCs/>
          <w:sz w:val="26"/>
          <w:szCs w:val="26"/>
        </w:rPr>
        <w:t>Банах Віктор Аркадійович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  <w:t>Електронна адреса: </w:t>
      </w:r>
      <w:hyperlink r:id="rId10">
        <w:r>
          <w:rPr>
            <w:color w:val="000000"/>
            <w:sz w:val="26"/>
            <w:szCs w:val="26"/>
            <w:highlight w:val="white"/>
            <w:u w:val="single"/>
          </w:rPr>
          <w:t>v_banakh@znu.edu.ua</w:t>
        </w:r>
      </w:hyperlink>
    </w:p>
    <w:p>
      <w:pPr>
        <w:pStyle w:val="Normal"/>
        <w:jc w:val="both"/>
        <w:rPr/>
      </w:pPr>
      <w:bookmarkStart w:id="1" w:name="_heading=h.dl9whp6gt86x"/>
      <w:bookmarkEnd w:id="1"/>
      <w:r>
        <w:rPr>
          <w:sz w:val="26"/>
          <w:szCs w:val="26"/>
        </w:rPr>
        <w:t>Гаряча лінія: тел.  (</w:t>
      </w:r>
      <w:r>
        <w:rPr>
          <w:sz w:val="26"/>
          <w:szCs w:val="26"/>
          <w:highlight w:val="white"/>
        </w:rPr>
        <w:t>061) 227-12-76, факс 227-12-88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РІВНІ МОЖЛИВОСТІ ТА ІНКЛЮЗИВНЕ ОСВІТНЄ СЕРЕДОВИЩЕ. </w:t>
      </w:r>
      <w:r>
        <w:rPr>
          <w:sz w:val="26"/>
          <w:szCs w:val="26"/>
        </w:rPr>
        <w:t xml:space="preserve">Центральні входи усіх навчальних корпусів ЗНУ обладнані пандусами для забезпечення доступу осіб з інвалідністю та інших маломобільних груп населення. Допомога для здійснення входу у разі потреби надається черговими охоронцями навчальних корпусів. Якщо вам потрібна спеціалізована допомога, будь ласка, зателефонуйте (061) 228-75-11 (начальник охорони). Порядок супроводу (надання допомоги) осіб з інвалідністю та інших маломобільних груп населення у ЗНУ: </w:t>
      </w:r>
      <w:hyperlink r:id="rId11">
        <w:r>
          <w:rPr>
            <w:color w:val="000000"/>
            <w:sz w:val="26"/>
            <w:szCs w:val="26"/>
            <w:u w:val="single"/>
          </w:rPr>
          <w:t>https://tinyurl.com/ydhcsagx</w:t>
        </w:r>
      </w:hyperlink>
      <w:r>
        <w:rPr>
          <w:sz w:val="26"/>
          <w:szCs w:val="26"/>
        </w:rPr>
        <w:t xml:space="preserve">. 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РЕСУРСИ ДЛЯ НАВЧАННЯ</w:t>
      </w:r>
    </w:p>
    <w:p>
      <w:pPr>
        <w:pStyle w:val="Normal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НАУКОВА БІБЛІОТЕКА</w:t>
      </w:r>
      <w:r>
        <w:rPr>
          <w:sz w:val="26"/>
          <w:szCs w:val="26"/>
        </w:rPr>
        <w:t xml:space="preserve">: </w:t>
      </w:r>
      <w:hyperlink r:id="rId12">
        <w:r>
          <w:rPr>
            <w:color w:val="000000"/>
            <w:sz w:val="26"/>
            <w:szCs w:val="26"/>
            <w:u w:val="single"/>
          </w:rPr>
          <w:t>http://library.znu.edu.ua</w:t>
        </w:r>
      </w:hyperlink>
      <w:r>
        <w:rPr>
          <w:sz w:val="26"/>
          <w:szCs w:val="26"/>
        </w:rPr>
        <w:t>. Графік роботи абонементів: понеділок-п`ятниця з 08.00 до 16.00; вихідні дні: субота і неділя.</w:t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СИСТЕМА ЕЛЕКТРОННОГО</w:t>
      </w:r>
      <w:r>
        <w:rPr>
          <w:b/>
          <w:bCs/>
          <w:sz w:val="26"/>
          <w:szCs w:val="26"/>
        </w:rPr>
        <w:t xml:space="preserve"> ЗАБЕЗПЕЧЕННЯ НАВЧАННЯ (MOODLE): </w:t>
      </w:r>
      <w:r>
        <w:rPr>
          <w:sz w:val="26"/>
          <w:szCs w:val="26"/>
          <w:u w:val="single"/>
        </w:rPr>
        <w:t>https://moodle.znu.edu.ua</w:t>
      </w:r>
    </w:p>
    <w:p>
      <w:pPr>
        <w:pStyle w:val="Normal"/>
        <w:jc w:val="both"/>
        <w:rPr/>
      </w:pPr>
      <w:r>
        <w:rPr>
          <w:sz w:val="26"/>
          <w:szCs w:val="26"/>
        </w:rPr>
        <w:t xml:space="preserve">Якщо забули пароль/логін, направте листа з темою «Забув пароль/логін» за адресою: </w:t>
      </w:r>
      <w:r>
        <w:rPr>
          <w:sz w:val="26"/>
          <w:szCs w:val="26"/>
          <w:highlight w:val="white"/>
          <w:u w:val="single"/>
        </w:rPr>
        <w:t>moodle.znu@znu.edu.ua.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  <w:t>У листі вкажіть: прізвище, ім'я, по-батькові українською мовою; шифр групи; електронну адресу.</w:t>
      </w:r>
    </w:p>
    <w:p>
      <w:pPr>
        <w:pStyle w:val="Normal"/>
        <w:jc w:val="both"/>
        <w:rPr/>
      </w:pPr>
      <w:r>
        <w:rPr>
          <w:sz w:val="26"/>
          <w:szCs w:val="26"/>
        </w:rPr>
        <w:t xml:space="preserve">Якщо ви вказували електронну адресу в профілі системи Moodle ЗНУ, то використовуйте посилання для відновлення паролю </w:t>
      </w:r>
      <w:r>
        <w:rPr>
          <w:sz w:val="26"/>
          <w:szCs w:val="26"/>
          <w:u w:val="single"/>
        </w:rPr>
        <w:t>https://moodle.znu.edu.ua/mod/page/view.php?id=133015</w:t>
      </w:r>
      <w:r>
        <w:rPr>
          <w:sz w:val="26"/>
          <w:szCs w:val="26"/>
        </w:rPr>
        <w:t>.</w:t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ЦЕНТР ІНТЕНСИВНОГО ВИВЧЕННЯ ІНОЗЕМНИХ МОВ</w:t>
      </w:r>
      <w:r>
        <w:rPr>
          <w:smallCaps/>
          <w:sz w:val="26"/>
          <w:szCs w:val="26"/>
        </w:rPr>
        <w:t xml:space="preserve">: </w:t>
      </w:r>
      <w:r>
        <w:rPr>
          <w:sz w:val="26"/>
          <w:szCs w:val="26"/>
          <w:u w:val="single"/>
        </w:rPr>
        <w:t>http://sites.znu.edu.ua/child-advance/</w:t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ЦЕНТР НІМЕЦЬКОЇ МОВИ, ПАРТНЕР ГЕТЕ-ІНСТИТУТУ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u w:val="single"/>
        </w:rPr>
        <w:t>https://www.znu.edu.ua/ukr/edu/ocznu/nim</w:t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ШКОЛА КОНФУЦІЯ (ВИВЧЕННЯ КИТАЙСЬКОЇ МОВИ</w:t>
      </w:r>
      <w:r>
        <w:rPr>
          <w:b/>
          <w:bCs/>
          <w:sz w:val="26"/>
          <w:szCs w:val="26"/>
        </w:rPr>
        <w:t>)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u w:val="single"/>
        </w:rPr>
        <w:t>http://sites.znu.edu.ua/confucius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ind w:left="360" w:hanging="360"/>
        <w:jc w:val="center"/>
        <w:rPr>
          <w:rFonts w:ascii="Cambria" w:hAnsi="Cambria" w:eastAsia="Cambria" w:cs="Cambria"/>
          <w:sz w:val="14"/>
          <w:szCs w:val="14"/>
        </w:rPr>
      </w:pPr>
      <w:r>
        <w:rPr/>
      </w:r>
    </w:p>
    <w:sectPr>
      <w:headerReference w:type="default" r:id="rId13"/>
      <w:headerReference w:type="first" r:id="rId14"/>
      <w:type w:val="nextPage"/>
      <w:pgSz w:w="11906" w:h="16838"/>
      <w:pgMar w:left="1134" w:right="567" w:gutter="0" w:header="720" w:top="1138" w:footer="0" w:bottom="1134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Calibri">
    <w:charset w:val="01"/>
    <w:family w:val="roman"/>
    <w:pitch w:val="variable"/>
    <w:embedRegular r:id="rId5" w:fontKey="{05014A78-CABC-4EF0-12AC-5CD89AEFDE05}"/>
    <w:embedItalic r:id="rId6" w:fontKey="{06014A78-CABC-4EF0-12AC-5CD89AEFDE06}"/>
  </w:font>
  <w:font w:name="Symbol">
    <w:charset w:val="01"/>
    <w:family w:val="roman"/>
    <w:pitch w:val="variable"/>
  </w:font>
  <w:font w:name="OpenSymbol">
    <w:altName w:val="Arial Unicode MS"/>
    <w:charset w:val="01"/>
    <w:family w:val="roman"/>
    <w:pitch w:val="variable"/>
    <w:embedRegular r:id="rId7" w:fontKey="{07014A78-CABC-4EF0-12AC-5CD89AEFDE07}"/>
  </w:font>
  <w:font w:name="Times">
    <w:altName w:val="Times New Roman"/>
    <w:charset w:val="01"/>
    <w:family w:val="roman"/>
    <w:pitch w:val="variable"/>
  </w:font>
  <w:font w:name="Segoe UI">
    <w:charset w:val="01"/>
    <w:family w:val="roman"/>
    <w:pitch w:val="variable"/>
    <w:embedRegular r:id="rId8" w:fontKey="{08014A78-CABC-4EF0-12AC-5CD89AEFDE08}"/>
  </w:font>
  <w:font w:name="Liberation Mono">
    <w:altName w:val="Courier New"/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Georgia">
    <w:charset w:val="01"/>
    <w:family w:val="roman"/>
    <w:pitch w:val="variable"/>
    <w:embedItalic r:id="rId13" w:fontKey="{0D014A78-CABC-4EF0-12AC-5CD89AEFDE0D}"/>
  </w:font>
  <w:font w:name="Noto Sans Symbols">
    <w:charset w:val="01"/>
    <w:family w:val="roman"/>
    <w:pitch w:val="variable"/>
    <w:embedRegular r:id="rId14" w:fontKey="{0E014A78-CABC-4EF0-12AC-5CD89AEFDE0E}"/>
    <w:embedBold r:id="rId15" w:fontKey="{0F014A78-CABC-4EF0-12AC-5CD89AEFDE0F}"/>
  </w:font>
  <w:font w:name="Cambria">
    <w:charset w:val="01"/>
    <w:family w:val="roman"/>
    <w:pitch w:val="variable"/>
    <w:embedRegular r:id="rId16" w:fontKey="{10014A78-CABC-4EF0-12AC-5CD89AEFDE10}"/>
  </w:font>
  <w:font w:name="Gotham Pro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tabs>
        <w:tab w:val="clear" w:pos="720"/>
        <w:tab w:val="center" w:pos="4680" w:leader="none"/>
        <w:tab w:val="right" w:pos="9360" w:leader="none"/>
      </w:tabs>
      <w:bidi w:val="0"/>
      <w:spacing w:before="0" w:after="0"/>
      <w:ind w:left="0" w:right="0" w:hanging="0"/>
      <w:jc w:val="center"/>
      <w:rPr/>
    </w:pPr>
    <w:r>
      <w:drawing>
        <wp:anchor behindDoc="1" distT="0" distB="0" distL="114300" distR="114300" simplePos="0" locked="0" layoutInCell="0" allowOverlap="1" relativeHeight="10">
          <wp:simplePos x="0" y="0"/>
          <wp:positionH relativeFrom="margin">
            <wp:posOffset>5334000</wp:posOffset>
          </wp:positionH>
          <wp:positionV relativeFrom="margin">
            <wp:posOffset>-685800</wp:posOffset>
          </wp:positionV>
          <wp:extent cx="685800" cy="630555"/>
          <wp:effectExtent l="0" t="0" r="0" b="0"/>
          <wp:wrapSquare wrapText="bothSides"/>
          <wp:docPr id="1" name="Рисунок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ahoma" w:ascii="Gotham Pro" w:hAnsi="Gotham Pro"/>
        <w:b/>
        <w:sz w:val="22"/>
        <w:lang w:val="uk-UA"/>
      </w:rPr>
      <w:t>ЗАПОРІЗЬКИЙ НАЦІОНАЛЬНИЙ УНІВЕРСИТЕТ</w:t>
    </w:r>
  </w:p>
  <w:p>
    <w:pPr>
      <w:pStyle w:val="Normal"/>
      <w:widowControl/>
      <w:tabs>
        <w:tab w:val="clear" w:pos="720"/>
        <w:tab w:val="center" w:pos="4680" w:leader="none"/>
        <w:tab w:val="right" w:pos="9360" w:leader="none"/>
      </w:tabs>
      <w:bidi w:val="0"/>
      <w:spacing w:before="0" w:after="0"/>
      <w:ind w:left="0" w:right="0" w:hanging="0"/>
      <w:jc w:val="center"/>
      <w:rPr/>
    </w:pPr>
    <w:r>
      <w:rPr>
        <w:rFonts w:cs="Tahoma" w:ascii="Gotham Pro" w:hAnsi="Gotham Pro"/>
        <w:b/>
        <w:sz w:val="22"/>
        <w:lang w:val="uk-UA"/>
      </w:rPr>
      <w:t>Силабус навчальної дисципліни</w:t>
    </w:r>
  </w:p>
  <w:p>
    <w:pPr>
      <w:pStyle w:val="Normal"/>
      <w:widowControl/>
      <w:tabs>
        <w:tab w:val="clear" w:pos="720"/>
        <w:tab w:val="center" w:pos="4680" w:leader="none"/>
        <w:tab w:val="right" w:pos="9360" w:leader="none"/>
      </w:tabs>
      <w:bidi w:val="0"/>
      <w:spacing w:before="0" w:after="0"/>
      <w:ind w:left="0" w:right="0" w:hanging="0"/>
      <w:jc w:val="center"/>
      <w:rPr/>
    </w:pPr>
    <w:r>
      <w:rPr>
        <w:rFonts w:cs="Tahoma"/>
        <w:i/>
        <w:sz w:val="22"/>
        <w:lang w:val="uk-UA"/>
      </w:rPr>
      <w:t>Сучасні парадигми програмування</w:t>
    </w:r>
  </w:p>
  <w:p>
    <w:pPr>
      <w:pStyle w:val="Normal"/>
      <w:widowControl/>
      <w:tabs>
        <w:tab w:val="clear" w:pos="720"/>
        <w:tab w:val="center" w:pos="4680" w:leader="none"/>
        <w:tab w:val="right" w:pos="9360" w:leader="none"/>
      </w:tabs>
      <w:bidi w:val="0"/>
      <w:spacing w:before="0" w:after="0"/>
      <w:ind w:left="0" w:right="0" w:hanging="0"/>
      <w:jc w:val="center"/>
      <w:rPr>
        <w:rFonts w:cs="Tahoma"/>
        <w:i/>
        <w:i/>
        <w:sz w:val="22"/>
        <w:lang w:val="uk-UA"/>
      </w:rPr>
    </w:pPr>
    <w:r>
      <w:rPr>
        <w:rFonts w:cs="Tahoma"/>
        <w:i/>
        <w:sz w:val="22"/>
        <w:lang w:val="uk-UA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680" w:leader="none"/>
        <w:tab w:val="right" w:pos="9360" w:leader="none"/>
      </w:tabs>
      <w:jc w:val="center"/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/>
      </w:rPr>
    </w:lvl>
    <w:lvl w:ilvl="2">
      <w:start w:val="1"/>
      <w:numFmt w:val="decimal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ru-RU" w:eastAsia="uk-UA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Heading1">
    <w:name w:val="Heading 1"/>
    <w:basedOn w:val="Normal"/>
    <w:next w:val="Normal"/>
    <w:uiPriority w:val="9"/>
    <w:qFormat/>
    <w:pPr>
      <w:spacing w:before="280" w:after="2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 w:val="true"/>
      <w:keepLines/>
      <w:spacing w:before="40" w:after="0"/>
      <w:outlineLvl w:val="1"/>
    </w:pPr>
    <w:rPr>
      <w:rFonts w:ascii="Calibri" w:hAnsi="Calibri" w:eastAsia="Calibri" w:cs="Calibri"/>
      <w:color w:val="365F9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 w:val="true"/>
      <w:keepLines/>
      <w:spacing w:before="40" w:after="0"/>
      <w:outlineLvl w:val="2"/>
    </w:pPr>
    <w:rPr>
      <w:rFonts w:ascii="Calibri" w:hAnsi="Calibri" w:eastAsia="Calibri" w:cs="Calibri"/>
      <w:color w:val="243F60"/>
    </w:rPr>
  </w:style>
  <w:style w:type="paragraph" w:styleId="Heading4">
    <w:name w:val="Heading 4"/>
    <w:basedOn w:val="Normal"/>
    <w:next w:val="Normal"/>
    <w:uiPriority w:val="9"/>
    <w:unhideWhenUsed/>
    <w:qFormat/>
    <w:pPr>
      <w:keepNext w:val="true"/>
      <w:keepLines/>
      <w:spacing w:before="40" w:after="0"/>
      <w:outlineLvl w:val="3"/>
    </w:pPr>
    <w:rPr>
      <w:rFonts w:ascii="Calibri" w:hAnsi="Calibri" w:eastAsia="Calibri" w:cs="Calibri"/>
      <w:i/>
      <w:iCs/>
      <w:color w:val="365F91"/>
    </w:rPr>
  </w:style>
  <w:style w:type="paragraph" w:styleId="Heading5">
    <w:name w:val="Heading 5"/>
    <w:basedOn w:val="Normal"/>
    <w:next w:val="Normal"/>
    <w:uiPriority w:val="9"/>
    <w:unhideWhenUsed/>
    <w:qFormat/>
    <w:pPr>
      <w:keepNext w:val="true"/>
      <w:keepLines/>
      <w:spacing w:before="40" w:after="0"/>
      <w:outlineLvl w:val="4"/>
    </w:pPr>
    <w:rPr>
      <w:rFonts w:ascii="Calibri" w:hAnsi="Calibri" w:eastAsia="Calibri" w:cs="Calibri"/>
      <w:color w:val="365F91"/>
    </w:rPr>
  </w:style>
  <w:style w:type="paragraph" w:styleId="Heading6">
    <w:name w:val="Heading 6"/>
    <w:basedOn w:val="Normal"/>
    <w:next w:val="Normal"/>
    <w:uiPriority w:val="9"/>
    <w:unhideWhenUsed/>
    <w:qFormat/>
    <w:pPr>
      <w:keepNext w:val="true"/>
      <w:keepLines/>
      <w:spacing w:before="40" w:after="0"/>
      <w:outlineLvl w:val="5"/>
    </w:pPr>
    <w:rPr>
      <w:rFonts w:ascii="Calibri" w:hAnsi="Calibri" w:eastAsia="Calibri" w:cs="Calibri"/>
      <w:color w:val="243F6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2z1" w:customStyle="1">
    <w:name w:val="WW8Num2z1"/>
    <w:qFormat/>
    <w:rPr>
      <w:rFonts w:ascii="OpenSymbol;Arial Unicode MS" w:hAnsi="OpenSymbol;Arial Unicode MS" w:cs="OpenSymbol;Arial Unicode MS"/>
    </w:rPr>
  </w:style>
  <w:style w:type="character" w:styleId="WW8Num3z0" w:customStyle="1">
    <w:name w:val="WW8Num3z0"/>
    <w:qFormat/>
    <w:rPr>
      <w:rFonts w:cs="Times New Roman"/>
    </w:rPr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3z1" w:customStyle="1">
    <w:name w:val="WW8Num3z1"/>
    <w:qFormat/>
    <w:rPr>
      <w:rFonts w:cs="Times New Roman;Times New Roman"/>
    </w:rPr>
  </w:style>
  <w:style w:type="character" w:styleId="WW8Num4z0" w:customStyle="1">
    <w:name w:val="WW8Num4z0"/>
    <w:qFormat/>
    <w:rPr>
      <w:rFonts w:ascii="Symbol" w:hAnsi="Symbol" w:cs="Symbol"/>
    </w:rPr>
  </w:style>
  <w:style w:type="character" w:styleId="WW8Num4z1" w:customStyle="1">
    <w:name w:val="WW8Num4z1"/>
    <w:qFormat/>
    <w:rPr>
      <w:rFonts w:cs="Times New Roman;Times New Roman"/>
    </w:rPr>
  </w:style>
  <w:style w:type="character" w:styleId="InternetLink">
    <w:name w:val="Hyperlink"/>
    <w:rPr>
      <w:rFonts w:cs="Times New Roman;Times New Roman"/>
      <w:color w:val="0000FF"/>
      <w:u w:val="single"/>
    </w:rPr>
  </w:style>
  <w:style w:type="character" w:styleId="3" w:customStyle="1">
    <w:name w:val="Заголовок 3 Знак"/>
    <w:qFormat/>
    <w:rPr>
      <w:rFonts w:ascii="Calibri" w:hAnsi="Calibri" w:eastAsia="MS Gothic;?l?r ?S?V?b?N" w:cs="Times New Roman;Times New Roman"/>
      <w:color w:val="243F60"/>
      <w:sz w:val="24"/>
      <w:szCs w:val="24"/>
      <w:lang w:val="en-US"/>
    </w:rPr>
  </w:style>
  <w:style w:type="character" w:styleId="4" w:customStyle="1">
    <w:name w:val="Заголовок 4 Знак"/>
    <w:qFormat/>
    <w:rPr>
      <w:rFonts w:ascii="Calibri" w:hAnsi="Calibri" w:eastAsia="MS Gothic;?l?r ?S?V?b?N" w:cs="Times New Roman;Times New Roman"/>
      <w:i/>
      <w:iCs/>
      <w:color w:val="365F91"/>
      <w:sz w:val="24"/>
      <w:szCs w:val="24"/>
      <w:lang w:val="en-US"/>
    </w:rPr>
  </w:style>
  <w:style w:type="character" w:styleId="5" w:customStyle="1">
    <w:name w:val="Заголовок 5 Знак"/>
    <w:qFormat/>
    <w:rPr>
      <w:rFonts w:ascii="Calibri" w:hAnsi="Calibri" w:eastAsia="MS Gothic;?l?r ?S?V?b?N" w:cs="Times New Roman;Times New Roman"/>
      <w:color w:val="365F91"/>
      <w:sz w:val="24"/>
      <w:szCs w:val="24"/>
      <w:lang w:val="en-US"/>
    </w:rPr>
  </w:style>
  <w:style w:type="character" w:styleId="6" w:customStyle="1">
    <w:name w:val="Заголовок 6 Знак"/>
    <w:qFormat/>
    <w:rPr>
      <w:rFonts w:ascii="Calibri" w:hAnsi="Calibri" w:eastAsia="MS Gothic;?l?r ?S?V?b?N" w:cs="Times New Roman;Times New Roman"/>
      <w:color w:val="243F60"/>
      <w:sz w:val="24"/>
      <w:szCs w:val="24"/>
      <w:lang w:val="en-US"/>
    </w:rPr>
  </w:style>
  <w:style w:type="character" w:styleId="2" w:customStyle="1">
    <w:name w:val="Заголовок 2 Знак"/>
    <w:qFormat/>
    <w:rPr>
      <w:rFonts w:ascii="Calibri" w:hAnsi="Calibri" w:eastAsia="MS Gothic;?l?r ?S?V?b?N" w:cs="Times New Roman;Times New Roman"/>
      <w:color w:val="365F91"/>
      <w:sz w:val="26"/>
      <w:szCs w:val="26"/>
      <w:lang w:val="en-US"/>
    </w:rPr>
  </w:style>
  <w:style w:type="character" w:styleId="1" w:customStyle="1">
    <w:name w:val="Заголовок 1 Знак"/>
    <w:qFormat/>
    <w:rPr>
      <w:rFonts w:ascii="Times;Times New Roman" w:hAnsi="Times;Times New Roman" w:cs="Times New Roman;Times New Roman"/>
      <w:b/>
      <w:bCs/>
      <w:kern w:val="2"/>
      <w:sz w:val="48"/>
      <w:szCs w:val="48"/>
      <w:lang w:val="en-US"/>
    </w:rPr>
  </w:style>
  <w:style w:type="character" w:styleId="Appletabspan" w:customStyle="1">
    <w:name w:val="apple-tab-span"/>
    <w:qFormat/>
    <w:rPr>
      <w:rFonts w:cs="Times New Roman;Times New Roman"/>
    </w:rPr>
  </w:style>
  <w:style w:type="character" w:styleId="S1" w:customStyle="1">
    <w:name w:val="s1"/>
    <w:qFormat/>
    <w:rPr/>
  </w:style>
  <w:style w:type="character" w:styleId="Style8" w:customStyle="1">
    <w:name w:val="Текст выноски Знак"/>
    <w:qFormat/>
    <w:rPr>
      <w:rFonts w:ascii="Segoe UI" w:hAnsi="Segoe UI" w:cs="Segoe UI"/>
      <w:sz w:val="18"/>
      <w:szCs w:val="18"/>
      <w:lang w:val="en-US"/>
    </w:rPr>
  </w:style>
  <w:style w:type="character" w:styleId="FootnoteCharacters" w:customStyle="1">
    <w:name w:val="Footnote Characters"/>
    <w:qFormat/>
    <w:rPr>
      <w:rFonts w:cs="Times New Roman;Times New Roman"/>
      <w:vertAlign w:val="superscript"/>
    </w:rPr>
  </w:style>
  <w:style w:type="character" w:styleId="Style9" w:customStyle="1">
    <w:name w:val="Верхний колонтитул Знак"/>
    <w:qFormat/>
    <w:rPr>
      <w:rFonts w:cs="Times New Roman;Times New Roman"/>
      <w:sz w:val="24"/>
      <w:szCs w:val="24"/>
      <w:lang w:val="en-US"/>
    </w:rPr>
  </w:style>
  <w:style w:type="character" w:styleId="VisitedInternetLink">
    <w:name w:val="FollowedHyperlink"/>
    <w:rPr>
      <w:rFonts w:cs="Times New Roman;Times New Roman"/>
      <w:color w:val="800080"/>
      <w:u w:val="single"/>
    </w:rPr>
  </w:style>
  <w:style w:type="character" w:styleId="Style10" w:customStyle="1">
    <w:name w:val="Нижний колонтитул Знак"/>
    <w:qFormat/>
    <w:rPr>
      <w:rFonts w:cs="Times New Roman;Times New Roman"/>
      <w:sz w:val="24"/>
      <w:szCs w:val="24"/>
      <w:lang w:val="en-US"/>
    </w:rPr>
  </w:style>
  <w:style w:type="character" w:styleId="11" w:customStyle="1">
    <w:name w:val="Текст сноски Знак1"/>
    <w:qFormat/>
    <w:rPr>
      <w:rFonts w:cs="Times New Roman;Times New Roman"/>
      <w:lang w:val="en-US"/>
    </w:rPr>
  </w:style>
  <w:style w:type="character" w:styleId="Style11" w:customStyle="1">
    <w:name w:val="Текст сноски Знак"/>
    <w:qFormat/>
    <w:rPr>
      <w:rFonts w:cs="Times New Roman;Times New Roman"/>
      <w:lang w:val="en-US"/>
    </w:rPr>
  </w:style>
  <w:style w:type="character" w:styleId="FootnoteAnchor" w:customStyle="1">
    <w:name w:val="Footnote Anchor"/>
    <w:rPr>
      <w:vertAlign w:val="superscript"/>
    </w:rPr>
  </w:style>
  <w:style w:type="character" w:styleId="EndnoteCharacters" w:customStyle="1">
    <w:name w:val="Endnote Characters"/>
    <w:qFormat/>
    <w:rPr>
      <w:vertAlign w:val="superscript"/>
    </w:rPr>
  </w:style>
  <w:style w:type="character" w:styleId="WWEndnoteCharacters" w:customStyle="1">
    <w:name w:val="WW-Endnote Characters"/>
    <w:qFormat/>
    <w:rPr/>
  </w:style>
  <w:style w:type="character" w:styleId="WW8Num5z0" w:customStyle="1">
    <w:name w:val="WW8Num5z0"/>
    <w:qFormat/>
    <w:rPr>
      <w:sz w:val="24"/>
      <w:lang w:val="uk-UA"/>
    </w:rPr>
  </w:style>
  <w:style w:type="character" w:styleId="EndnoteAnchor" w:customStyle="1">
    <w:name w:val="Endnote Anchor"/>
    <w:rPr>
      <w:vertAlign w:val="superscript"/>
    </w:rPr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trongEmphasis" w:customStyle="1">
    <w:name w:val="Strong Emphasis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NumberingSymbols" w:customStyle="1">
    <w:name w:val="Numbering Symbols"/>
    <w:qFormat/>
    <w:rPr/>
  </w:style>
  <w:style w:type="character" w:styleId="SourceText" w:customStyle="1">
    <w:name w:val="Source Text"/>
    <w:qFormat/>
    <w:rPr>
      <w:rFonts w:ascii="Liberation Mono;Courier New" w:hAnsi="Liberation Mono;Courier New" w:eastAsia="Noto Sans Mono CJK SC" w:cs="Liberation Mono;Courier New"/>
    </w:rPr>
  </w:style>
  <w:style w:type="paragraph" w:styleId="Heading" w:customStyle="1">
    <w:name w:val="Heading"/>
    <w:next w:val="TextBody"/>
    <w:qFormat/>
    <w:pPr>
      <w:keepNext w:val="true"/>
      <w:widowControl/>
      <w:bidi w:val="0"/>
      <w:spacing w:before="240" w:after="120"/>
      <w:jc w:val="left"/>
    </w:pPr>
    <w:rPr>
      <w:rFonts w:ascii="Liberation Sans;Arial" w:hAnsi="Liberation Sans;Arial" w:eastAsia="AR PL SungtiL GB" w:cs="Lohit Devanagari"/>
      <w:color w:val="auto"/>
      <w:kern w:val="0"/>
      <w:sz w:val="28"/>
      <w:szCs w:val="28"/>
      <w:lang w:val="ru-RU" w:eastAsia="uk-UA" w:bidi="ar-SA"/>
    </w:rPr>
  </w:style>
  <w:style w:type="paragraph" w:styleId="TextBody">
    <w:name w:val="Body Text"/>
    <w:pPr>
      <w:widowControl/>
      <w:bidi w:val="0"/>
      <w:spacing w:lineRule="auto" w:line="276" w:before="0" w:after="14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qFormat/>
    <w:pPr>
      <w:widowControl/>
      <w:suppressLineNumbers/>
      <w:bidi w:val="0"/>
      <w:spacing w:before="0" w:after="0"/>
      <w:jc w:val="left"/>
    </w:pPr>
    <w:rPr>
      <w:rFonts w:cs="Lohit Devanagari" w:ascii="Times New Roman" w:hAnsi="Times New Roman" w:eastAsia="Times New Roman"/>
      <w:color w:val="auto"/>
      <w:kern w:val="0"/>
      <w:sz w:val="24"/>
      <w:szCs w:val="24"/>
      <w:lang w:val="ru-RU" w:eastAsia="uk-UA" w:bidi="ar-SA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Caption1">
    <w:name w:val="caption"/>
    <w:qFormat/>
    <w:pPr>
      <w:widowControl/>
      <w:suppressLineNumbers/>
      <w:bidi w:val="0"/>
      <w:spacing w:before="120" w:after="120"/>
      <w:jc w:val="left"/>
    </w:pPr>
    <w:rPr>
      <w:rFonts w:cs="Lohit Devanagari" w:ascii="Times New Roman" w:hAnsi="Times New Roman" w:eastAsia="Times New Roman"/>
      <w:i/>
      <w:iCs/>
      <w:color w:val="auto"/>
      <w:kern w:val="0"/>
      <w:sz w:val="24"/>
      <w:szCs w:val="24"/>
      <w:lang w:val="ru-RU" w:eastAsia="uk-UA" w:bidi="ar-SA"/>
    </w:rPr>
  </w:style>
  <w:style w:type="paragraph" w:styleId="12" w:customStyle="1">
    <w:name w:val="Обычный (веб)1"/>
    <w:qFormat/>
    <w:pPr>
      <w:widowControl/>
      <w:bidi w:val="0"/>
      <w:spacing w:before="280" w:after="280"/>
      <w:jc w:val="left"/>
    </w:pPr>
    <w:rPr>
      <w:rFonts w:ascii="Times;Times New Roman" w:hAnsi="Times;Times New Roman" w:cs="Times;Times New Roman" w:eastAsia="Times New Roman"/>
      <w:color w:val="auto"/>
      <w:kern w:val="0"/>
      <w:sz w:val="20"/>
      <w:szCs w:val="20"/>
      <w:lang w:val="ru-RU" w:eastAsia="uk-UA" w:bidi="ar-SA"/>
    </w:rPr>
  </w:style>
  <w:style w:type="paragraph" w:styleId="ListParagraph">
    <w:name w:val="List Paragraph"/>
    <w:qFormat/>
    <w:pPr>
      <w:widowControl/>
      <w:bidi w:val="0"/>
      <w:spacing w:before="0" w:after="0"/>
      <w:ind w:left="720" w:hanging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BalloonText">
    <w:name w:val="Balloon Text"/>
    <w:qFormat/>
    <w:pPr>
      <w:widowControl/>
      <w:bidi w:val="0"/>
      <w:spacing w:before="0" w:after="0"/>
      <w:jc w:val="left"/>
    </w:pPr>
    <w:rPr>
      <w:rFonts w:ascii="Segoe UI" w:hAnsi="Segoe UI" w:cs="Segoe UI" w:eastAsia="Times New Roman"/>
      <w:color w:val="auto"/>
      <w:kern w:val="0"/>
      <w:sz w:val="18"/>
      <w:szCs w:val="18"/>
      <w:lang w:val="ru-RU" w:eastAsia="uk-UA" w:bidi="ar-SA"/>
    </w:rPr>
  </w:style>
  <w:style w:type="paragraph" w:styleId="HeaderandFooter" w:customStyle="1">
    <w:name w:val="Header and Footer"/>
    <w:qFormat/>
    <w:pPr>
      <w:widowControl/>
      <w:suppressLineNumbers/>
      <w:tabs>
        <w:tab w:val="clear" w:pos="720"/>
        <w:tab w:val="center" w:pos="4819" w:leader="none"/>
        <w:tab w:val="right" w:pos="9638" w:leader="none"/>
      </w:tabs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Footer">
    <w:name w:val="Footer"/>
    <w:pPr>
      <w:widowControl/>
      <w:tabs>
        <w:tab w:val="clear" w:pos="720"/>
        <w:tab w:val="center" w:pos="4680" w:leader="none"/>
        <w:tab w:val="right" w:pos="9360" w:leader="none"/>
      </w:tabs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Header">
    <w:name w:val="Header"/>
    <w:pPr>
      <w:widowControl/>
      <w:tabs>
        <w:tab w:val="clear" w:pos="720"/>
        <w:tab w:val="center" w:pos="4680" w:leader="none"/>
        <w:tab w:val="right" w:pos="9360" w:leader="none"/>
      </w:tabs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Footnote">
    <w:name w:val="Footnote Text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uk-UA" w:bidi="ar-SA"/>
    </w:rPr>
  </w:style>
  <w:style w:type="paragraph" w:styleId="TableContents" w:customStyle="1">
    <w:name w:val="Table Contents"/>
    <w:qFormat/>
    <w:pPr>
      <w:widowControl/>
      <w:suppressLineNumbers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TextBodyIndent">
    <w:name w:val="Body Text Indent"/>
    <w:pPr>
      <w:widowControl/>
      <w:bidi w:val="0"/>
      <w:spacing w:before="0" w:after="120"/>
      <w:ind w:left="283" w:hanging="0"/>
      <w:jc w:val="left"/>
    </w:pPr>
    <w:rPr>
      <w:rFonts w:eastAsia="MS Mincho" w:ascii="Times New Roman" w:hAnsi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HorizontalLine" w:customStyle="1">
    <w:name w:val="Horizontal Line"/>
    <w:next w:val="TextBody"/>
    <w:qFormat/>
    <w:pPr>
      <w:widowControl/>
      <w:suppressLineNumbers/>
      <w:pBdr>
        <w:bottom w:val="double" w:sz="2" w:space="0" w:color="808080"/>
      </w:pBdr>
      <w:bidi w:val="0"/>
      <w:spacing w:before="0" w:after="283"/>
      <w:jc w:val="left"/>
    </w:pPr>
    <w:rPr>
      <w:rFonts w:ascii="Times New Roman" w:hAnsi="Times New Roman" w:eastAsia="Times New Roman" w:cs="Times New Roman"/>
      <w:color w:val="auto"/>
      <w:kern w:val="0"/>
      <w:sz w:val="12"/>
      <w:szCs w:val="12"/>
      <w:lang w:val="ru-RU" w:eastAsia="uk-UA" w:bidi="ar-SA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 w:customStyle="1">
    <w:name w:val="WW8Num3"/>
    <w:qFormat/>
  </w:style>
  <w:style w:type="numbering" w:styleId="WW8Num4" w:customStyle="1">
    <w:name w:val="WW8Num4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t.me/gen_dobr" TargetMode="External"/><Relationship Id="rId3" Type="http://schemas.openxmlformats.org/officeDocument/2006/relationships/hyperlink" Target="https://tinyurl.com/yckze4jd" TargetMode="External"/><Relationship Id="rId4" Type="http://schemas.openxmlformats.org/officeDocument/2006/relationships/hyperlink" Target="https://tinyurl.com/y9tve4lk" TargetMode="External"/><Relationship Id="rId5" Type="http://schemas.openxmlformats.org/officeDocument/2006/relationships/hyperlink" Target="https://tinyurl.com/y9pkmmp5" TargetMode="External"/><Relationship Id="rId6" Type="http://schemas.openxmlformats.org/officeDocument/2006/relationships/hyperlink" Target="https://tinyurl.com/ycds57la" TargetMode="External"/><Relationship Id="rId7" Type="http://schemas.openxmlformats.org/officeDocument/2006/relationships/hyperlink" Target="https://tinyurl.com/57wha734" TargetMode="External"/><Relationship Id="rId8" Type="http://schemas.openxmlformats.org/officeDocument/2006/relationships/hyperlink" Target="https://tinyurl.com/yd6bq6p9" TargetMode="External"/><Relationship Id="rId9" Type="http://schemas.openxmlformats.org/officeDocument/2006/relationships/hyperlink" Target="https://tinyurl.com/y9r5dpwh" TargetMode="External"/><Relationship Id="rId10" Type="http://schemas.openxmlformats.org/officeDocument/2006/relationships/hyperlink" Target="mailto:v_banakh@znu.edu.ua" TargetMode="External"/><Relationship Id="rId11" Type="http://schemas.openxmlformats.org/officeDocument/2006/relationships/hyperlink" Target="https://tinyurl.com/ydhcsagx" TargetMode="External"/><Relationship Id="rId12" Type="http://schemas.openxmlformats.org/officeDocument/2006/relationships/hyperlink" Target="http://library.znu.edu.ua/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eKpzdcWcDSxxL0MtrkyBhNkE1zw==">CgMxLjAyDmguZGw5d2hwNmd0ODZ4OAByITE0VXlDWjZFdTF6V1dsdGFXbHgwMUNkMVRhcUNYejhvbA==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Application>LibreOffice/7.3.7.2$Linux_X86_64 LibreOffice_project/30$Build-2</Application>
  <AppVersion>15.0000</AppVersion>
  <Pages>10</Pages>
  <Words>2001</Words>
  <Characters>14429</Characters>
  <CharactersWithSpaces>16408</CharactersWithSpaces>
  <Paragraphs>353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2026-02-02T21:28:00Z</dcterms:created>
  <dc:creator>cheryl reed</dc:creator>
  <dc:description/>
  <dc:language>en-US</dc:language>
  <cp:lastModifiedBy/>
  <dcterms:modified xsi:type="dcterms:W3CDTF">2026-02-05T12:42:25Z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