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ackground w:color="FFFFFF">
    <v:background id="_x0000_s1025" fillcolor="#FFFFFF"/>
  </w:background>
  <w:body>
    <w:p>
      <w:pPr>
        <w:pStyle w:val="920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МІНІСТЕРСТВО ОСВІТИ І НАУКИ УКРАЇНИ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ЗАПОРІЗЬКИЙ НАЦІОНАЛЬНИЙ УНІВЕРСИТЕТ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 xml:space="preserve">БІОЛОГІЧНИЙ Факультет</w:t>
      </w:r>
      <w:r>
        <w:rPr>
          <w:caps/>
          <w:szCs w:val="28"/>
          <w:lang w:val="uk-UA"/>
        </w:rPr>
      </w:r>
      <w:r>
        <w:rPr>
          <w:caps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 xml:space="preserve">Кафедра</w:t>
      </w:r>
      <w:r>
        <w:rPr>
          <w:lang w:val="uk-UA"/>
        </w:rPr>
        <w:t xml:space="preserve"> ЗАГАЛЬНОЇ ТА ПРИКЛАДНОЇ ЕКОЛОГІЇ І ЗООЛОГІЇ</w:t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920"/>
        <w:pBdr/>
        <w:spacing/>
        <w:ind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ЗАТВЕРДЖУЮ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 w:left="5400"/>
        <w:rPr>
          <w:sz w:val="16"/>
          <w:lang w:val="uk-UA"/>
        </w:rPr>
      </w:pPr>
      <w:r>
        <w:rPr>
          <w:szCs w:val="28"/>
          <w:lang w:val="uk-UA"/>
        </w:rPr>
        <w:t xml:space="preserve">       ______        Л.О. Омельянчик</w:t>
      </w:r>
      <w:r>
        <w:rPr>
          <w:sz w:val="16"/>
          <w:lang w:val="uk-UA"/>
        </w:rPr>
        <w:t xml:space="preserve">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20"/>
        <w:pBdr/>
        <w:spacing/>
        <w:ind w:left="5400"/>
        <w:rPr>
          <w:sz w:val="16"/>
          <w:lang w:val="uk-UA"/>
        </w:rPr>
      </w:pPr>
      <w:r>
        <w:rPr>
          <w:sz w:val="16"/>
          <w:lang w:val="uk-UA"/>
        </w:rPr>
        <w:t xml:space="preserve">               (підпис)                      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20"/>
        <w:pBdr/>
        <w:spacing/>
        <w:ind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>
        <w:rPr>
          <w:lang w:val="uk-UA"/>
        </w:rPr>
        <w:t xml:space="preserve">     «______»_______________2024</w:t>
      </w:r>
      <w:r>
        <w:rPr>
          <w:lang w:val="uk-UA"/>
        </w:rPr>
      </w:r>
      <w:r>
        <w:rPr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СИЛАБУС НАВЧАЛЬНОЇ ДИСЦИПЛІНИ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Мисливська кінологія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20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підготовки _____</w:t>
      </w:r>
      <w:r>
        <w:rPr>
          <w:bCs/>
          <w:sz w:val="28"/>
          <w:szCs w:val="28"/>
          <w:u w:val="single"/>
          <w:lang w:val="uk-UA"/>
        </w:rPr>
        <w:t xml:space="preserve">бакалавр</w:t>
      </w:r>
      <w:r>
        <w:rPr>
          <w:bCs/>
          <w:sz w:val="28"/>
          <w:szCs w:val="28"/>
          <w:lang w:val="uk-UA"/>
        </w:rPr>
        <w:t xml:space="preserve">___________________</w:t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 xml:space="preserve">денної</w:t>
      </w:r>
      <w:r>
        <w:rPr>
          <w:iCs/>
          <w:sz w:val="28"/>
          <w:szCs w:val="28"/>
          <w:lang w:val="uk-UA"/>
        </w:rPr>
        <w:t xml:space="preserve"> та заочної форм здобуття освіти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освітньо-професійна програма </w:t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lang w:val="ru-RU"/>
        </w:rPr>
        <w:t xml:space="preserve"> </w:t>
      </w:r>
      <w:r>
        <w:rPr>
          <w:sz w:val="28"/>
          <w:szCs w:val="28"/>
          <w:u w:val="single"/>
          <w:lang w:val="uk-UA"/>
        </w:rPr>
        <w:t xml:space="preserve">Мисливське господарство та рослинні ресурси»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спеціальності   </w:t>
      </w:r>
      <w:r>
        <w:rPr>
          <w:lang w:val="ru-RU"/>
        </w:rPr>
        <w:t xml:space="preserve"> </w:t>
      </w:r>
      <w:r>
        <w:rPr>
          <w:sz w:val="28"/>
          <w:szCs w:val="28"/>
          <w:lang w:val="uk-UA"/>
        </w:rPr>
        <w:t xml:space="preserve">205 Лісове господарство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галузі знань </w:t>
      </w:r>
      <w:r>
        <w:rPr>
          <w:rFonts w:eastAsia="Times New Roman"/>
          <w:sz w:val="28"/>
          <w:szCs w:val="28"/>
          <w:lang w:val="uk-UA" w:eastAsia="ar-SA"/>
        </w:rPr>
        <w:t xml:space="preserve">20 Аграрні науки та продовольство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(шифр і назва)</w:t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20"/>
        <w:pBdr/>
        <w:spacing/>
        <w:ind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  <w:r>
        <w:rPr>
          <w:color w:val="000000"/>
          <w:sz w:val="16"/>
          <w:szCs w:val="16"/>
          <w:lang w:val="uk-UA"/>
        </w:rPr>
      </w:r>
      <w:r>
        <w:rPr>
          <w:color w:val="000000"/>
          <w:sz w:val="16"/>
          <w:szCs w:val="16"/>
          <w:lang w:val="uk-UA"/>
        </w:rPr>
      </w:r>
    </w:p>
    <w:p>
      <w:pPr>
        <w:pStyle w:val="920"/>
        <w:pBdr/>
        <w:spacing/>
        <w:ind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 xml:space="preserve">викладач</w:t>
      </w:r>
      <w:r>
        <w:rPr>
          <w:b/>
          <w:bCs/>
          <w:color w:val="000000"/>
          <w:lang w:val="uk-UA"/>
        </w:rPr>
        <w:t xml:space="preserve"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 xml:space="preserve">Ткач Євген Вікторович</w:t>
      </w:r>
      <w:r>
        <w:rPr>
          <w:b/>
          <w:bCs/>
          <w:lang w:val="uk-UA"/>
        </w:rPr>
        <w:t xml:space="preserve">________</w:t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20"/>
        <w:pBdr/>
        <w:spacing/>
        <w:ind/>
        <w:rPr>
          <w:b/>
          <w:bCs/>
          <w:lang w:val="uk-UA"/>
        </w:rPr>
      </w:pPr>
      <w:r>
        <w:rPr>
          <w:b/>
          <w:bCs/>
          <w:lang w:val="uk-UA"/>
        </w:rPr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20"/>
        <w:pBdr/>
        <w:spacing/>
        <w:ind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</w:p>
    <w:tbl>
      <w:tblPr>
        <w:tblW w:w="0" w:type="auto"/>
        <w:tblInd w:w="108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4826"/>
        <w:gridCol w:w="4745"/>
      </w:tblGrid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826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Обговорено та ухвалено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на засіданні кафедри біології лісу, мисливствазнавства та іхтіології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Протокол №____ від  “___”________202_ р.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Завідувач кафедри кафедри біології лісу, мисливствазнавства та іхтіології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_________________В.І. Домніч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 xml:space="preserve">(підпис)</w:t>
            </w:r>
            <w:r>
              <w:rPr>
                <w:lang w:val="uk-UA"/>
              </w:rPr>
              <w:t xml:space="preserve">                        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745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Погоджено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Гарант освітньо-професійної програми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__________________ В.І. Домніч 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(підпис)                               </w:t>
            </w:r>
            <w:r>
              <w:rPr>
                <w:sz w:val="16"/>
                <w:szCs w:val="16"/>
                <w:lang w:val="uk-UA"/>
              </w:rPr>
            </w:r>
            <w:r>
              <w:rPr>
                <w:sz w:val="16"/>
                <w:szCs w:val="16"/>
                <w:lang w:val="uk-UA"/>
              </w:rPr>
            </w:r>
          </w:p>
        </w:tc>
      </w:tr>
    </w:tbl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2024 рік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20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br w:type="page" w:clear="all"/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920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Викладач:</w:t>
      </w:r>
      <w:r>
        <w:rPr>
          <w:lang w:val="uk-UA" w:eastAsia="en-US"/>
        </w:rPr>
        <w:t xml:space="preserve"> </w:t>
      </w:r>
      <w:r>
        <w:rPr>
          <w:i/>
          <w:iCs/>
          <w:lang w:val="uk-UA" w:eastAsia="en-US"/>
        </w:rPr>
        <w:t xml:space="preserve"> Ткач Євген Вікторович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20"/>
        <w:pBdr/>
        <w:spacing/>
        <w:ind/>
        <w:rPr>
          <w:rFonts w:ascii="Times New Roman Полужирный" w:hAnsi="Times New Roman Полужирный"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lang w:val="ru-RU"/>
        </w:rPr>
        <w:t xml:space="preserve">Зв`язок </w:t>
      </w:r>
      <w:r>
        <w:rPr>
          <w:rFonts w:ascii="Times New Roman Полужирный" w:hAnsi="Times New Roman Полужирный"/>
          <w:b/>
          <w:bCs/>
          <w:lang w:val="uk-UA"/>
        </w:rPr>
        <w:t xml:space="preserve">з викладачем: </w:t>
      </w:r>
      <w:r>
        <w:rPr>
          <w:rFonts w:ascii="Times New Roman Полужирный" w:hAnsi="Times New Roman Полужирный"/>
          <w:b/>
          <w:bCs/>
          <w:lang w:val="uk-UA"/>
        </w:rPr>
      </w:r>
      <w:r>
        <w:rPr>
          <w:rFonts w:ascii="Times New Roman Полужирный" w:hAnsi="Times New Roman Полужирный"/>
          <w:b/>
          <w:bCs/>
          <w:lang w:val="uk-UA"/>
        </w:rPr>
      </w:r>
    </w:p>
    <w:p>
      <w:pPr>
        <w:pStyle w:val="920"/>
        <w:pBdr/>
        <w:spacing/>
        <w:ind/>
        <w:rPr>
          <w:b/>
          <w:color w:val="000000"/>
          <w:lang w:val="ru-RU"/>
        </w:rPr>
      </w:pPr>
      <w:r>
        <w:rPr>
          <w:b/>
          <w:color w:val="000000"/>
          <w:lang w:val="uk-UA"/>
        </w:rPr>
        <w:t xml:space="preserve">E-mail: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 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tkachievgen@gmail.com</w:t>
      </w:r>
      <w:r>
        <w:rPr>
          <w:b/>
          <w:color w:val="000000"/>
          <w:lang w:val="ru-RU"/>
        </w:rPr>
      </w:r>
      <w:r>
        <w:rPr>
          <w:b/>
          <w:color w:val="000000"/>
          <w:lang w:val="ru-RU"/>
        </w:rPr>
      </w:r>
    </w:p>
    <w:p>
      <w:pPr>
        <w:pStyle w:val="920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Сезн ЗНУ повідомлення: 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20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Телефон: </w:t>
      </w:r>
      <w:r>
        <w:rPr>
          <w:lang w:val="uk-UA" w:eastAsia="en-US"/>
        </w:rPr>
        <w:t xml:space="preserve">(061) </w:t>
      </w:r>
      <w:r>
        <w:rPr>
          <w:bCs/>
          <w:lang w:val="ru-RU" w:eastAsia="en-US"/>
        </w:rPr>
        <w:t xml:space="preserve">228-75-79</w:t>
      </w:r>
      <w:r>
        <w:rPr>
          <w:lang w:val="uk-UA" w:eastAsia="en-US"/>
        </w:rPr>
        <w:t xml:space="preserve"> (кафедра), (050) 805-98-98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20"/>
        <w:pBdr/>
        <w:spacing/>
        <w:ind/>
        <w:rPr>
          <w:i/>
          <w:iCs/>
          <w:lang w:val="uk-UA" w:eastAsia="en-US"/>
        </w:rPr>
      </w:pPr>
      <w:r>
        <w:rPr>
          <w:b/>
          <w:lang w:val="uk-UA" w:eastAsia="en-US"/>
        </w:rPr>
        <w:t xml:space="preserve">Інші засоби зв’язку: особисті повідомлення у СЕЗН ЗНУ Moodle, Telegram,  Z</w:t>
      </w:r>
      <w:r>
        <w:rPr>
          <w:lang w:val="uk-UA" w:eastAsia="en-US"/>
        </w:rPr>
        <w:t xml:space="preserve">OOM. </w:t>
      </w:r>
      <w:r>
        <w:rPr>
          <w:bCs/>
          <w:i/>
          <w:iCs/>
          <w:lang w:val="uk-UA" w:eastAsia="en-US"/>
        </w:rPr>
        <w:t xml:space="preserve"> </w:t>
      </w:r>
      <w:r>
        <w:rPr>
          <w:i/>
          <w:iCs/>
          <w:lang w:val="uk-UA" w:eastAsia="en-US"/>
        </w:rPr>
      </w:r>
      <w:r>
        <w:rPr>
          <w:i/>
          <w:iCs/>
          <w:lang w:val="uk-UA" w:eastAsia="en-US"/>
        </w:rPr>
      </w:r>
    </w:p>
    <w:p>
      <w:pPr>
        <w:pStyle w:val="920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Кафедра: </w:t>
      </w:r>
      <w:r>
        <w:rPr>
          <w:i/>
          <w:iCs/>
          <w:lang w:val="uk-UA" w:eastAsia="en-US"/>
        </w:rPr>
        <w:t xml:space="preserve"> біології лісу, мисливствознавства та їхтіології, ІІІ корпус ауд.,217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20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971"/>
        <w:pBdr/>
        <w:spacing/>
        <w:ind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 xml:space="preserve"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</w:p>
    <w:p>
      <w:pPr>
        <w:pStyle w:val="971"/>
        <w:pBdr/>
        <w:spacing/>
        <w:ind w:firstLine="540" w:left="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Метою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вивчення навчальної дисципліни «</w:t>
      </w:r>
      <w:r>
        <w:rPr>
          <w:sz w:val="28"/>
          <w:szCs w:val="28"/>
          <w:lang w:val="uk-UA"/>
        </w:rPr>
        <w:t xml:space="preserve">Мисливська кінологія</w:t>
      </w:r>
      <w:r>
        <w:rPr>
          <w:sz w:val="28"/>
          <w:szCs w:val="28"/>
          <w:lang w:val="uk-UA"/>
        </w:rPr>
        <w:t xml:space="preserve">» є набуття здобувачами вищої освіти комплексу теоретич</w:t>
      </w:r>
      <w:r>
        <w:rPr>
          <w:sz w:val="28"/>
          <w:szCs w:val="28"/>
          <w:lang w:val="uk-UA"/>
        </w:rPr>
        <w:t xml:space="preserve">них знань та вироблення практичних навичок щодо </w:t>
      </w:r>
      <w:r>
        <w:rPr>
          <w:sz w:val="28"/>
          <w:szCs w:val="28"/>
          <w:lang w:val="uk-UA"/>
        </w:rPr>
        <w:t xml:space="preserve">утримання собак та догляду за ними</w:t>
      </w:r>
      <w:r>
        <w:rPr>
          <w:sz w:val="28"/>
          <w:szCs w:val="28"/>
          <w:lang w:val="uk-UA"/>
        </w:rPr>
        <w:t xml:space="preserve">.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 разі успішного завершення курсу студент зможе: надавати науково обґрунтовану оцінку різних порід мисливських собак, розуміти принципи бонітування собак на виставках, виводках чи змаганнях,  визначати якості тієї чи іншої собаки під час полювання,</w:t>
      </w:r>
      <w:r>
        <w:rPr>
          <w:sz w:val="28"/>
          <w:szCs w:val="28"/>
          <w:lang w:val="uk-UA"/>
        </w:rPr>
        <w:t xml:space="preserve"> обирати напрямок розведення. Також ця дисципліна сприяє формуванню навичок soft skills, зокрема впроваджувати проектні рішення у виробництво, працювати в команді, здійснювати професійні взаємодії та взаємозв’</w:t>
      </w:r>
      <w:r>
        <w:rPr>
          <w:sz w:val="28"/>
          <w:szCs w:val="28"/>
          <w:lang w:val="uk-UA"/>
        </w:rPr>
        <w:t xml:space="preserve">язки </w:t>
      </w:r>
      <w:r>
        <w:rPr>
          <w:sz w:val="28"/>
          <w:szCs w:val="28"/>
          <w:lang w:val="uk-UA"/>
        </w:rPr>
        <w:t xml:space="preserve">з працівниками лісового та мисливськог</w:t>
      </w:r>
      <w:r>
        <w:rPr>
          <w:sz w:val="28"/>
          <w:szCs w:val="28"/>
          <w:lang w:val="uk-UA"/>
        </w:rPr>
        <w:t xml:space="preserve">о господарств, фахівцями природоохоронних установ і організацій.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71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Паспорт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9923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>
        <w:trPr>
          <w:trHeight w:val="51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Нормативні показники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денна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заочна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</w:tr>
      <w:tr>
        <w:trPr>
          <w:trHeight w:val="3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Статус дисципліни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Обов’язкова</w:t>
            </w:r>
            <w:r>
              <w:rPr>
                <w:b/>
                <w:sz w:val="28"/>
                <w:szCs w:val="28"/>
                <w:lang w:val="uk-UA" w:eastAsia="en-US"/>
              </w:rPr>
            </w:r>
            <w:r>
              <w:rPr>
                <w:b/>
                <w:sz w:val="28"/>
                <w:szCs w:val="28"/>
                <w:lang w:val="uk-UA" w:eastAsia="en-US"/>
              </w:rPr>
            </w:r>
          </w:p>
        </w:tc>
      </w:tr>
      <w:tr>
        <w:trPr>
          <w:trHeight w:val="2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Семестр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3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3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color w:val="ff0000"/>
                <w:lang w:val="uk-UA"/>
              </w:rPr>
            </w:pPr>
            <w:r>
              <w:rPr>
                <w:lang w:val="uk-UA"/>
              </w:rPr>
              <w:t xml:space="preserve">Кількість кредитів ECTS </w:t>
            </w:r>
            <w:r>
              <w:rPr>
                <w:color w:val="ff0000"/>
                <w:lang w:val="uk-UA"/>
              </w:rPr>
            </w:r>
            <w:r>
              <w:rPr>
                <w:color w:val="ff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3</w:t>
            </w:r>
            <w:r>
              <w:rPr>
                <w:b/>
                <w:lang w:val="uk-UA"/>
              </w:rPr>
            </w:r>
            <w:r>
              <w:rPr>
                <w:b/>
                <w:lang w:val="uk-UA"/>
              </w:rPr>
            </w:r>
          </w:p>
        </w:tc>
      </w:tr>
      <w:tr>
        <w:trPr>
          <w:trHeight w:val="35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Кількість годин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90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Лекційні заняття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14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8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51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Практич</w:t>
            </w:r>
            <w:r>
              <w:rPr>
                <w:lang w:val="uk-UA"/>
              </w:rPr>
              <w:t xml:space="preserve">ні заняття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14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8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17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Самостійна робота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64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104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44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Консультації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Поточні очні консультації проводяться за потреби у середу з 11.00-14.00, ауд 217. Проведення  дистанційних консультацій з використання платформ: gmail,  ZOOM, Moodle та Telegram (у робочий час).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</w:tr>
      <w:tr>
        <w:trPr>
          <w:trHeight w:val="48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Вид підсумкового семестрового контролю: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залік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</w:tc>
      </w:tr>
      <w:tr>
        <w:trPr>
          <w:trHeight w:val="88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Посилання на електронний курс </w:t>
            </w:r>
            <w:r>
              <w:rPr>
                <w:lang w:val="uk-UA"/>
              </w:rPr>
              <w:t xml:space="preserve">у </w:t>
            </w:r>
            <w:r>
              <w:rPr>
                <w:lang w:val="uk-UA"/>
              </w:rPr>
              <w:t xml:space="preserve">СЕЗН ЗНУ (</w:t>
            </w:r>
            <w:r>
              <w:rPr>
                <w:lang w:val="uk-UA"/>
              </w:rPr>
              <w:t xml:space="preserve">платформа </w:t>
            </w:r>
            <w:r>
              <w:rPr>
                <w:lang w:val="uk-UA"/>
              </w:rPr>
              <w:t xml:space="preserve">Moodle)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 w:hanging="316" w:left="316"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https://moodle.znu.edu.ua/course/view.php?id=</w:t>
            </w:r>
            <w:r>
              <w:rPr>
                <w:i/>
                <w:color w:val="000000"/>
                <w:lang w:val="uk-UA"/>
              </w:rPr>
              <w:t xml:space="preserve">15478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</w:tr>
    </w:tbl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p>
      <w:pPr>
        <w:pStyle w:val="920"/>
        <w:pageBreakBefore w:val="true"/>
        <w:pBdr/>
        <w:spacing/>
        <w:ind/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2</w:t>
      </w:r>
      <w:r>
        <w:rPr>
          <w:b/>
          <w:bCs/>
          <w:color w:val="000000"/>
          <w:sz w:val="28"/>
          <w:lang w:val="uk-UA"/>
        </w:rPr>
        <w:t xml:space="preserve">. </w:t>
      </w:r>
      <w:r>
        <w:rPr>
          <w:b/>
          <w:bCs/>
          <w:color w:val="000000"/>
          <w:sz w:val="28"/>
          <w:lang w:val="uk-UA"/>
        </w:rPr>
        <w:t xml:space="preserve">Методи </w:t>
      </w:r>
      <w:r>
        <w:rPr>
          <w:b/>
          <w:bCs/>
          <w:color w:val="000000"/>
          <w:sz w:val="28"/>
          <w:lang w:val="uk-UA"/>
        </w:rPr>
        <w:t xml:space="preserve">досягнення з</w:t>
      </w:r>
      <w:r>
        <w:rPr>
          <w:b/>
          <w:color w:val="000000"/>
          <w:sz w:val="28"/>
          <w:szCs w:val="28"/>
          <w:lang w:val="uk-UA"/>
        </w:rPr>
        <w:t xml:space="preserve">апланован</w:t>
      </w:r>
      <w:r>
        <w:rPr>
          <w:b/>
          <w:color w:val="000000"/>
          <w:sz w:val="28"/>
          <w:szCs w:val="28"/>
          <w:lang w:val="uk-UA"/>
        </w:rPr>
        <w:t xml:space="preserve">их освітньо</w:t>
      </w:r>
      <w:r>
        <w:rPr>
          <w:b/>
          <w:color w:val="000000"/>
          <w:sz w:val="28"/>
          <w:szCs w:val="28"/>
          <w:lang w:val="uk-UA"/>
        </w:rPr>
        <w:t xml:space="preserve">ю</w:t>
      </w:r>
      <w:r>
        <w:rPr>
          <w:b/>
          <w:color w:val="000000"/>
          <w:sz w:val="28"/>
          <w:szCs w:val="28"/>
          <w:lang w:val="uk-UA"/>
        </w:rPr>
        <w:t xml:space="preserve">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к</w:t>
      </w:r>
      <w:r>
        <w:rPr>
          <w:b/>
          <w:bCs/>
          <w:color w:val="000000"/>
          <w:sz w:val="28"/>
          <w:lang w:val="uk-UA"/>
        </w:rPr>
        <w:t xml:space="preserve">омпетентност</w:t>
      </w:r>
      <w:r>
        <w:rPr>
          <w:b/>
          <w:bCs/>
          <w:color w:val="000000"/>
          <w:sz w:val="28"/>
          <w:lang w:val="uk-UA"/>
        </w:rPr>
        <w:t xml:space="preserve">ей</w:t>
      </w:r>
      <w:r>
        <w:rPr>
          <w:b/>
          <w:bCs/>
          <w:color w:val="000000"/>
          <w:sz w:val="28"/>
          <w:lang w:val="uk-UA"/>
        </w:rPr>
        <w:t xml:space="preserve"> і</w:t>
      </w:r>
      <w:r>
        <w:rPr>
          <w:b/>
          <w:bCs/>
          <w:color w:val="000000"/>
          <w:sz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результат</w:t>
      </w:r>
      <w:r>
        <w:rPr>
          <w:b/>
          <w:bCs/>
          <w:color w:val="000000"/>
          <w:sz w:val="28"/>
          <w:lang w:val="uk-UA"/>
        </w:rPr>
        <w:t xml:space="preserve">ів</w:t>
      </w:r>
      <w:r>
        <w:rPr>
          <w:b/>
          <w:bCs/>
          <w:color w:val="000000"/>
          <w:sz w:val="28"/>
          <w:lang w:val="uk-UA"/>
        </w:rPr>
        <w:t xml:space="preserve"> навчання</w:t>
      </w:r>
      <w:r>
        <w:rPr>
          <w:b/>
          <w:bCs/>
          <w:color w:val="ff0000"/>
          <w:sz w:val="28"/>
          <w:lang w:val="uk-UA"/>
        </w:rPr>
        <w:t xml:space="preserve"> </w:t>
      </w:r>
      <w:r>
        <w:rPr>
          <w:b/>
          <w:bCs/>
          <w:color w:val="ff0000"/>
          <w:sz w:val="28"/>
          <w:lang w:val="uk-UA"/>
        </w:rPr>
      </w:r>
      <w:r>
        <w:rPr>
          <w:b/>
          <w:bCs/>
          <w:color w:val="ff0000"/>
          <w:sz w:val="28"/>
          <w:lang w:val="uk-UA"/>
        </w:rPr>
      </w:r>
    </w:p>
    <w:p>
      <w:pPr>
        <w:pStyle w:val="920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395"/>
        <w:gridCol w:w="2109"/>
        <w:gridCol w:w="1917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Компетентності</w:t>
            </w:r>
            <w:r>
              <w:rPr>
                <w:lang w:val="uk-UA"/>
              </w:rPr>
              <w:t xml:space="preserve">/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р</w:t>
            </w:r>
            <w:r>
              <w:rPr>
                <w:lang w:val="uk-UA"/>
              </w:rPr>
              <w:t xml:space="preserve">езультати навчання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Методи навчання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1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Форми і методи оцінювання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/>
            </w:pPr>
            <w:r>
              <w:rPr>
                <w:lang w:val="uk-UA"/>
              </w:rPr>
              <w:t xml:space="preserve">ІК. </w:t>
            </w:r>
            <w:r>
              <w:rPr>
                <w:lang w:val="uk-UA"/>
              </w:rPr>
              <w:t xml:space="preserve">Здатність розв’язувати складні спеціалізовані задачі та практичні проблеми в галузі мисливського господарства, застосовуючи теоретичні та методологічні знання кінології, з урахуванням природних умов та вимог до селекції й тренування мисливських собак.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Дослідницький. Медіаграмотність. Фактчекінг. Практичні роботи, досліди, індивідуальне дослідницьке завдання.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Форми оцінювання: поточне, підсумкове.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</w:t>
            </w:r>
            <w:r>
              <w:rPr>
                <w:lang w:val="uk-UA" w:eastAsia="en-US"/>
              </w:rPr>
              <w:t xml:space="preserve">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</w:t>
            </w:r>
            <w:r>
              <w:rPr>
                <w:lang w:val="uk-UA"/>
              </w:rPr>
              <w:t xml:space="preserve">.Здатність реалізовувати свої права і обов’язки як члена суспільства, усвідомлювати цінності громадянського (вільного демократичного) суспільства, та необхідність його сталого розвитку, верховенства права, прав і свобод людини і громадянина в України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  <w:t xml:space="preserve">ЗК-2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Здатність зберігати та примножувати моральні, культурні й наукові цінності суспільства на основі розуміння історії розвитку кінології та її ролі в мисливському господарстві, а також використовувати знання для підтримання здорового способу життя та активного</w:t>
            </w:r>
            <w:r>
              <w:rPr>
                <w:lang w:val="uk-UA"/>
              </w:rPr>
              <w:t xml:space="preserve"> відпочинку з тваринами.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  <w:t xml:space="preserve">ЗК-10. </w:t>
            </w:r>
            <w:r>
              <w:rPr>
                <w:lang w:val="uk-UA"/>
              </w:rPr>
              <w:t xml:space="preserve">Прагнення до збереження навколишнього середовища та екологічного мисливського господарства, застосування принципів сталого використання природних ресурсів.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ЗК-11. </w:t>
            </w:r>
            <w:r>
              <w:rPr>
                <w:lang w:val="uk-UA"/>
              </w:rPr>
              <w:t xml:space="preserve">Навички здійснення безпечної діяльності під час роботи з мисливськими собаками, забезпечення охорони праці та дотримання стандартів техніки безпеки.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1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СК2.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Здатність проводити селекційні дослідження та оцінку робочих якостей мисливських собак на основі фізіологічних, генетичних та поведінкових показників.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СК7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Здатність оцінювати мисливські ресурси і застосовувати мисливських собак для різних типів полювання.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СК9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Здатність розробляти проектну документацію, інструкції та плани тренування для підготовки мисливських собак відповідно до потреб мисливського господарства.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СК10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  <w:t xml:space="preserve">Здатність організовувати роботу малих колективів виконавців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29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СК11</w:t>
            </w:r>
            <w:r>
              <w:rPr>
                <w:lang w:val="uk-UA"/>
              </w:rPr>
              <w:t xml:space="preserve">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Здатність планувати і реалізовувати ефективні заходи з організації мисливського господарства, спрямовані на покращення біологічної стійкості порід мисливських собак.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5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lang w:val="uk-UA"/>
              </w:rPr>
            </w:pPr>
            <w:r>
              <w:rPr>
                <w:lang w:val="uk-UA"/>
              </w:rPr>
              <w:t xml:space="preserve">СК-16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  <w:t xml:space="preserve">Здатність застосовувати професійні знання для оцінки виробничих процесів і ефективного управління в мисливському господарстві, інтегруючи знання кінології.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0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ПP02.</w:t>
            </w:r>
            <w:r>
              <w:rPr>
                <w:lang w:val="uk-UA"/>
              </w:rPr>
              <w:t xml:space="preserve"> Прагнення до самоорганізації та самоосвіти в галузі кінології для постійного вдосконалення навичок роботи з мисливськими собаками.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ПР04.</w:t>
            </w:r>
            <w:r>
              <w:rPr>
                <w:lang w:val="ru-RU"/>
              </w:rPr>
              <w:t xml:space="preserve"> </w:t>
            </w:r>
            <w:r>
              <w:rPr>
                <w:lang w:val="uk-UA"/>
              </w:rPr>
              <w:t xml:space="preserve">Володіння базовими знаннями з гуманітарних, природничих і професійних дисциплін для вирішення завдань організації та ведення мисливського господарства.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9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  <w:t xml:space="preserve">ПР05.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Застосування теорій та принципів кінології і мисливського господарства для вирішення професійних задач у сфері тренування та селекції мисливських собак.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  <w:t xml:space="preserve">ПР07</w:t>
            </w:r>
            <w:r>
              <w:rPr>
                <w:lang w:val="uk-UA"/>
              </w:rPr>
              <w:t xml:space="preserve">. </w:t>
            </w:r>
            <w:r>
              <w:rPr>
                <w:lang w:val="uk-UA"/>
              </w:rPr>
              <w:t xml:space="preserve">Знання законодавства, нормативно-довідкових матеріалів і управлінської документації для забезпечення ефективної діяльності в мисливському господарстві.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  <w:t xml:space="preserve">ПР08</w:t>
            </w:r>
            <w:r>
              <w:rPr>
                <w:lang w:val="uk-UA"/>
              </w:rPr>
              <w:t xml:space="preserve">.</w:t>
            </w:r>
            <w:r>
              <w:rPr>
                <w:lang w:val="ru-RU"/>
              </w:rPr>
              <w:t xml:space="preserve"> 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t xml:space="preserve">Проектування та організація роботи мисливського господарства із залученням мисливських собак, відповідно до встановлених стандартів.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/>
            <w:r>
              <w:t xml:space="preserve">ПР12. Інтеграція сучасних підходів до організації тренування мисливських собак та управління виробничими процесами в мисливському господарстві.</w:t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/>
            <w:r>
              <w:t xml:space="preserve">ПР14. Виконання професійних завдань із підготовки та тренування мисливських собак, удосконалення методик їх навчання, а також передача цих знань іншим фахівцям.</w:t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/>
            <w:r>
              <w:t xml:space="preserve">ПР15. Впровадження розроблених проектів і рішень у сфері мисливського господарства на екологічних засадах.</w:t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/>
            <w:r>
              <w:t xml:space="preserve">ПР18. Здійснення професійних взаємодій з працівниками мисливських господарств та фахівцями в галузі природоохоронної діяльності.</w:t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946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/>
            <w:r>
              <w:t xml:space="preserve">ПР19. Знання сучасних тенденцій розвитку мисливської кінології, організації мисливських господарств, а також принципів сталого природокористування.</w:t>
            </w:r>
            <w:r/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</w:tbl>
    <w:p>
      <w:pPr>
        <w:pStyle w:val="920"/>
        <w:pBdr/>
        <w:tabs>
          <w:tab w:val="left" w:leader="none" w:pos="284"/>
          <w:tab w:val="left" w:leader="none" w:pos="567"/>
        </w:tabs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</w:t>
      </w:r>
      <w:r>
        <w:rPr>
          <w:b/>
          <w:bCs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  <w:lang w:val="uk-UA"/>
        </w:rPr>
        <w:t xml:space="preserve">Зміст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20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Мисливська кінологія — це наукова і практична дисципліна, що вивчає породи собак, призначених для полювання, їх селекцію, тренування, поведінкові особливості та використання в різних типах мисливства. Вона є однією з галузей кінології, що зосереджується на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розведенні та підготовці мисливських собак для виконання спеціальних завдань під час полювання. Упродовж тисячоліть собаки служили людям в різних аспектах полювання, виконуючи ключові ролі в пошуку, переслідуванні та апортуванні здобичі.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highlight w:val="none"/>
        </w:rPr>
      </w:pPr>
      <w:r>
        <w:t xml:space="preserve">Мисливські собаки виконують різноманітні функції, залежно від типу полювання. Вони використовуються для полювання на птахів, дрібну дичину, а також на крупних звірів. Важливою частиною мисливської кінології є підбір собак для конкретних умов полювання: для</w:t>
      </w:r>
      <w:r>
        <w:t xml:space="preserve"> водоплавних птахів потрібні породи, здатні працювати у воді, для полювання в густих чагарниках підходять собаки з хорошою витривалістю і здатністю працювати в складних умовах.</w:t>
      </w:r>
      <w:r>
        <w:rPr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highlight w:val="none"/>
        </w:rPr>
      </w:r>
      <w:r>
        <w:rPr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/>
      </w:pPr>
      <w:r>
        <w:t xml:space="preserve">Таким чином, мисливська кінологія є складною дисципліною, що поєднує біологічні знання, генетику, поведінкову психологію та практичні навички дресирування. Її метою є не лише підтримка робочих якостей собак, а й збереження культурної спадщини, пов’язаної з</w:t>
      </w:r>
      <w:r>
        <w:t xml:space="preserve"> традиційними формами полювання, які відіграють важливу роль у взаємодії людини і природи.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958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958"/>
        <w:pBdr/>
        <w:spacing w:after="0" w:line="240" w:lineRule="auto"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4</w:t>
      </w:r>
      <w:r>
        <w:rPr>
          <w:b/>
          <w:sz w:val="28"/>
          <w:szCs w:val="28"/>
          <w:lang w:val="uk-UA"/>
        </w:rPr>
        <w:t xml:space="preserve">. </w:t>
      </w:r>
      <w:r>
        <w:rPr>
          <w:b/>
          <w:sz w:val="28"/>
          <w:szCs w:val="28"/>
          <w:lang w:val="uk-UA"/>
        </w:rPr>
        <w:t xml:space="preserve">Структура навчальної дисципліни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58"/>
        <w:pBdr/>
        <w:spacing w:after="0" w:line="240" w:lineRule="auto"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10354" w:type="dxa"/>
        <w:tblInd w:w="2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1559"/>
        <w:gridCol w:w="11"/>
        <w:gridCol w:w="5947"/>
        <w:gridCol w:w="852"/>
        <w:gridCol w:w="709"/>
        <w:gridCol w:w="1259"/>
        <w:gridCol w:w="17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Вид занят</w:t>
            </w:r>
            <w:r>
              <w:rPr>
                <w:b/>
                <w:sz w:val="22"/>
                <w:szCs w:val="22"/>
                <w:lang w:val="uk-UA"/>
              </w:rPr>
              <w:t xml:space="preserve">тя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/роботи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Назва теми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1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Кількість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годин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Згідно з розкладом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</w:tr>
      <w:tr>
        <w:trPr>
          <w:trHeight w:val="2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о/д.ф.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з.ф.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</w:tr>
      <w:tr>
        <w:trPr>
          <w:trHeight w:val="37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Лекція 1 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left"/>
              <w:rPr>
                <w:sz w:val="22"/>
                <w:szCs w:val="22"/>
                <w:lang w:val="ru-RU"/>
              </w:rPr>
            </w:pPr>
            <w:r>
              <w:rPr>
                <w:iCs/>
                <w:sz w:val="22"/>
                <w:szCs w:val="22"/>
                <w:lang w:val="ru-RU"/>
              </w:rPr>
            </w:r>
            <w:r>
              <w:rPr>
                <w:iCs/>
                <w:sz w:val="22"/>
                <w:szCs w:val="22"/>
                <w:lang w:val="ru-RU"/>
              </w:rPr>
              <w:t xml:space="preserve">Походження і використання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Практична робота 1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t xml:space="preserve">наукові теорії походження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none"/>
              </w:rPr>
              <w:t xml:space="preserve">суть </w:t>
            </w:r>
            <w:r>
              <w:t xml:space="preserve">генетичних досліджень, які підтверджують спорідненість собак і вовків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highlight w:val="none"/>
              </w:rPr>
            </w:r>
            <w:r>
              <w:t xml:space="preserve">фактори що сприяли одомашненню собак 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5"/>
              </w:numPr>
              <w:pBdr/>
              <w:spacing/>
              <w:ind/>
              <w:jc w:val="left"/>
              <w:rPr>
                <w:sz w:val="22"/>
                <w:szCs w:val="22"/>
              </w:rPr>
            </w:pPr>
            <w:r>
              <w:rPr>
                <w:highlight w:val="none"/>
              </w:rPr>
            </w:r>
            <w:r>
              <w:t xml:space="preserve">використання собак в різних культурах світу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6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lang w:val="ru-RU"/>
              </w:rPr>
              <w:t xml:space="preserve"> </w:t>
            </w:r>
            <w:r>
              <w:rPr>
                <w:iCs/>
                <w:sz w:val="22"/>
                <w:szCs w:val="22"/>
                <w:lang w:val="ru-RU"/>
              </w:rPr>
              <w:t xml:space="preserve">Екстер’єр і конституція собак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Практична робота</w:t>
            </w:r>
            <w:r>
              <w:rPr>
                <w:sz w:val="22"/>
                <w:szCs w:val="22"/>
                <w:lang w:val="uk-UA"/>
              </w:rPr>
              <w:t xml:space="preserve">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jc w:val="left"/>
              <w:rPr/>
            </w:pPr>
            <w:r>
              <w:rPr>
                <w:sz w:val="22"/>
                <w:szCs w:val="22"/>
              </w:rPr>
            </w:r>
            <w:r>
              <w:t xml:space="preserve">взаємозв'язок екстер’єру з функціональними можливостями собаки.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jc w:val="left"/>
              <w:rPr/>
            </w:pPr>
            <w:r>
              <w:t xml:space="preserve">о</w:t>
            </w:r>
            <w:r>
              <w:t xml:space="preserve">сновні типи конституції собак: характеристика та приклади порід.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jc w:val="left"/>
              <w:rPr/>
            </w:pPr>
            <w:r>
              <w:t xml:space="preserve">м</w:t>
            </w:r>
            <w:r>
              <w:t xml:space="preserve">етоди оцінки конституції та екстер’єру в кінології.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jc w:val="left"/>
              <w:rPr/>
            </w:pPr>
            <w:r>
              <w:t xml:space="preserve">в</w:t>
            </w:r>
            <w:r>
              <w:t xml:space="preserve">ідмінності між робочими та декоративними породами за екстер’єром і конституцією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jc w:val="left"/>
              <w:rPr>
                <w:sz w:val="22"/>
                <w:szCs w:val="22"/>
              </w:rPr>
            </w:pPr>
            <w:r>
              <w:t xml:space="preserve">приклади адаптації екстер’єру собак до різних кліматичних умов.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  <w:t xml:space="preserve">Породи та групи порід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4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Практична робота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4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</w:t>
            </w:r>
            <w:r>
              <w:rPr>
                <w:sz w:val="22"/>
                <w:szCs w:val="22"/>
              </w:rPr>
              <w:t xml:space="preserve">ончаки 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норні собаки – </w:t>
            </w:r>
            <w:r>
              <w:rPr>
                <w:sz w:val="22"/>
                <w:szCs w:val="22"/>
              </w:rPr>
              <w:t xml:space="preserve">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лягаві собаки –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  <w:t xml:space="preserve">орти –</w:t>
            </w:r>
            <w:r>
              <w:rPr>
                <w:sz w:val="22"/>
                <w:szCs w:val="22"/>
              </w:rPr>
              <w:t xml:space="preserve">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спанієлі та ретривери </w:t>
            </w:r>
            <w:r>
              <w:rPr>
                <w:sz w:val="22"/>
                <w:szCs w:val="22"/>
              </w:rPr>
              <w:t xml:space="preserve">– характеристика порід та специфіка використання, </w:t>
            </w:r>
            <w:r>
              <w:rPr>
                <w:sz w:val="22"/>
                <w:szCs w:val="22"/>
              </w:rPr>
              <w:t xml:space="preserve">основні представники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особливості національних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</w:t>
            </w:r>
            <w:r>
              <w:rPr>
                <w:sz w:val="22"/>
                <w:szCs w:val="22"/>
              </w:rPr>
              <w:t xml:space="preserve">елекція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еволюція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4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 xml:space="preserve"> </w:t>
            </w:r>
            <w:r>
              <w:t xml:space="preserve">Біологічні основи селекції мисливських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Практична робота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генетичні основи спадковості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м</w:t>
            </w:r>
            <w:r>
              <w:rPr>
                <w:sz w:val="22"/>
                <w:szCs w:val="22"/>
                <w:highlight w:val="none"/>
              </w:rPr>
              <w:t xml:space="preserve">етоди селекції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в</w:t>
            </w:r>
            <w:r>
              <w:rPr>
                <w:sz w:val="22"/>
                <w:szCs w:val="22"/>
                <w:highlight w:val="none"/>
              </w:rPr>
              <w:t xml:space="preserve">плив інбридингу на породи, ризики та переваги внутрішньопородного схрещування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  <w:t xml:space="preserve">фенотип і генотип у мисливських собак, зв’язок фенотип у та генотипу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полігенна спадковість, контроль при селекції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 xml:space="preserve">в</w:t>
            </w:r>
            <w:r>
              <w:rPr>
                <w:sz w:val="22"/>
                <w:szCs w:val="22"/>
                <w:highlight w:val="none"/>
              </w:rPr>
              <w:t xml:space="preserve">плив середовища на формування робочих якостей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975"/>
              <w:pBdr/>
              <w:spacing/>
              <w:ind w:firstLine="425" w:left="-84"/>
              <w:rPr/>
            </w:pPr>
            <w:r>
              <w:rPr>
                <w:sz w:val="22"/>
                <w:szCs w:val="22"/>
                <w:highlight w:val="none"/>
              </w:rPr>
              <w:t xml:space="preserve">Гетерозис у селекції мисливських собак – що це таке, і як його використовують для покращення порід?</w:t>
            </w:r>
            <w:r/>
            <w:r/>
          </w:p>
          <w:p>
            <w:pPr>
              <w:pStyle w:val="975"/>
              <w:pBdr/>
              <w:spacing/>
              <w:ind w:firstLine="425" w:left="-84"/>
              <w:rPr/>
            </w:pPr>
            <w:r>
              <w:rPr>
                <w:sz w:val="22"/>
                <w:szCs w:val="22"/>
                <w:highlight w:val="none"/>
              </w:rPr>
              <w:t xml:space="preserve">Вибір пар для розведення – які критерії використовують для підбору пар при селекції?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none"/>
              </w:rPr>
              <w:t xml:space="preserve">Оцінка робочих якостей у процесі відбору – які методи застосовують для оцінки робочих якостей собак у племінній роботі?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</w:r>
            <w:r>
              <w:t xml:space="preserve">Тренування та виховання мисливських собак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щотижня/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Практична робота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етапи тренування мисливських собак 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методи дресирування, основні підходи до тренування мисливських собакр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р</w:t>
            </w:r>
            <w:r>
              <w:t xml:space="preserve">оль інстинктів у тренуванні 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п</w:t>
            </w:r>
            <w:r>
              <w:t xml:space="preserve">оведінкові особливості мисливських порід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використання позитивного та негативного підкріплення </w:t>
            </w:r>
            <w:r>
              <w:t xml:space="preserve">спеціалізовані команди для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соціалізація цуценят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т</w:t>
            </w:r>
            <w:r>
              <w:t xml:space="preserve">ренування для різних типів полювання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ф</w:t>
            </w:r>
            <w:r>
              <w:t xml:space="preserve">ізична підготовка мисливських собак</w:t>
            </w:r>
            <w:r/>
            <w:r/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</w:rPr>
            </w:pPr>
            <w:r>
              <w:t xml:space="preserve">корекція небажаної поведінки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10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2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t xml:space="preserve">Хвороби мисливських собак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Практична робота </w:t>
            </w: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15478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спадкові хвороби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опорно-рухового апарату, хвороби суглобів та кісток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інфекційні хвороби (вірусні, бактеріальні, грибкові) що найчастіше вражають мисливських собак і методи їх попередження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паразитарні хвороби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захворювання серця характерні для активних мисливських порід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</w:t>
            </w:r>
            <w:r>
              <w:rPr>
                <w:sz w:val="22"/>
                <w:szCs w:val="22"/>
              </w:rPr>
              <w:t xml:space="preserve">лергічні реакції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типові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типи травм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проблеми з диханням характерні для мисливських собак при підвищеному фізичному навантаженні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дерматологічні хвороби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975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профілактика та вакцинація мисливських собак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</w:tbl>
    <w:p>
      <w:pPr>
        <w:pStyle w:val="958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58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58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58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20"/>
        <w:pBdr/>
        <w:spacing/>
        <w:ind w:left="927"/>
        <w:jc w:val="center"/>
        <w:rPr>
          <w:b/>
          <w:sz w:val="28"/>
          <w:szCs w:val="28"/>
          <w:lang w:val="uk-UA"/>
        </w:rPr>
        <w:sectPr>
          <w:headerReference w:type="default" r:id="rId9"/>
          <w:footnotePr/>
          <w:endnotePr/>
          <w:type w:val="nextPage"/>
          <w:pgSz w:h="16838" w:orient="portrait" w:w="11906"/>
          <w:pgMar w:top="1134" w:right="567" w:bottom="1134" w:left="1134" w:header="720" w:footer="720" w:gutter="0"/>
          <w:cols w:num="1" w:sep="0" w:space="720" w:equalWidth="1"/>
          <w:titlePg/>
        </w:sect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pacing/>
        <w:ind w:left="92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</w:t>
      </w:r>
      <w:r>
        <w:rPr>
          <w:b/>
          <w:sz w:val="28"/>
          <w:szCs w:val="28"/>
          <w:lang w:val="uk-UA"/>
        </w:rPr>
        <w:t xml:space="preserve">. Види і зміст контрольних заходів</w:t>
      </w:r>
      <w:r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pacing/>
        <w:ind w:left="927"/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</w:p>
    <w:tbl>
      <w:tblPr>
        <w:tblW w:w="1500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67"/>
        <w:gridCol w:w="2410"/>
        <w:gridCol w:w="4394"/>
        <w:gridCol w:w="5670"/>
        <w:gridCol w:w="855"/>
        <w:gridCol w:w="11"/>
      </w:tblGrid>
      <w:tr>
        <w:trPr>
          <w:gridAfter w:val="1"/>
          <w:trHeight w:val="5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</w:t>
            </w:r>
            <w:r>
              <w:rPr>
                <w:sz w:val="20"/>
                <w:szCs w:val="20"/>
                <w:lang w:val="uk-UA"/>
              </w:rPr>
              <w:t xml:space="preserve">ид заняття</w:t>
            </w:r>
            <w:r>
              <w:rPr>
                <w:sz w:val="20"/>
                <w:szCs w:val="20"/>
                <w:lang w:val="uk-UA"/>
              </w:rPr>
              <w:t xml:space="preserve">/роботи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поточного контрольного заходу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Зміст </w:t>
            </w:r>
            <w:r>
              <w:rPr>
                <w:sz w:val="20"/>
                <w:szCs w:val="20"/>
                <w:lang w:val="uk-UA"/>
              </w:rPr>
              <w:t xml:space="preserve">контрольного заходу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Критерії оцінювання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та термін виконання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Усього балів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1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trHeight w:val="282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center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Лекція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1,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роботи 1.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практичнаробота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практична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/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роботи</w:t>
            </w:r>
            <w:r>
              <w:rPr>
                <w:sz w:val="20"/>
                <w:szCs w:val="20"/>
                <w:lang w:val="uk-UA"/>
              </w:rPr>
              <w:t xml:space="preserve"> 2.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492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/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3.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1-3,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/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 4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4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Питання  для підготовки до опитування (питання лекції, див. розд. 3) та перевірки самостійної роботи див. табл. 4.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практичнаробота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практична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/>
            <w:r>
              <w:rPr>
                <w:sz w:val="20"/>
                <w:szCs w:val="20"/>
                <w:lang w:val="uk-UA" w:eastAsia="en-US"/>
              </w:rPr>
              <w:t xml:space="preserve"> 5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5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5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39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/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 6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6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6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4-6,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 </w:t>
            </w:r>
            <w:r>
              <w:rPr>
                <w:b/>
                <w:sz w:val="20"/>
                <w:szCs w:val="20"/>
                <w:lang w:val="uk-UA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12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60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/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134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67" w:type="dxa"/>
            <w:vAlign w:val="top"/>
            <w:vMerge w:val="restart"/>
            <w:textDirection w:val="btLr"/>
            <w:noWrap w:val="false"/>
          </w:tcPr>
          <w:p>
            <w:pPr>
              <w:pStyle w:val="920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20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Залік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 w:firstLine="34"/>
              <w:rPr/>
            </w:pPr>
            <w:r>
              <w:rPr>
                <w:sz w:val="22"/>
                <w:szCs w:val="22"/>
              </w:rPr>
              <w:t xml:space="preserve">Тестування в СЕЗН ЗНУ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 xml:space="preserve">Розділ 3 робочої програми навчальної дисципліни)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 xml:space="preserve">освіти отримує 1 бал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565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pBdr/>
              <w:spacing/>
              <w:ind/>
              <w:jc w:val="both"/>
              <w:rPr/>
            </w:pPr>
            <w:r>
              <w:rPr>
                <w:sz w:val="22"/>
                <w:szCs w:val="22"/>
              </w:rPr>
              <w:t xml:space="preserve">Індивідуальне дослідницьке завдання</w:t>
            </w:r>
            <w:r>
              <w:rPr>
                <w:sz w:val="22"/>
                <w:szCs w:val="22"/>
              </w:rPr>
              <w:t xml:space="preserve">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ІДЗ повинно бути виконано протягом семестру, та представлено до захисту до початку залікового тижня. 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Питання для виконання ІДЗ обираються відповідно до номера прізвища студента у журналі академічної групи.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 xml:space="preserve">Moodle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 xml:space="preserve"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вишої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освіти самостійно виконали понад 90% завдань, під час виконання роботи виявили усебічні, систематичні та глибокі знання програмного матеріалу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90% завдань, завдання роботи виконані достатньо грамотно, але є декілька (1-3) несуттєвих помилок. Під час викон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80% завдань, завдання ро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70%. Під час вик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20"/>
              <w:pBdr/>
              <w:spacing/>
              <w:ind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20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40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</w:tbl>
    <w:p>
      <w:pPr>
        <w:pStyle w:val="920"/>
        <w:pBdr/>
        <w:spacing/>
        <w:ind/>
        <w:jc w:val="both"/>
        <w:rPr>
          <w:b/>
          <w:bCs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20" w:footer="720" w:gutter="0"/>
          <w:cols w:num="1" w:sep="0" w:space="720" w:equalWidth="1"/>
          <w:titlePg/>
        </w:sect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Шкала оцінювання ЗНУ: національна та ECTS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tbl>
      <w:tblPr>
        <w:tblW w:w="0" w:type="auto"/>
        <w:jc w:val="center"/>
        <w:tblInd w:w="0" w:type="dxa"/>
        <w:tblBorders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>
        <w:trPr>
          <w:cantSplit/>
          <w:trHeight w:val="2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restart"/>
            <w:textDirection w:val="lrTb"/>
            <w:noWrap w:val="false"/>
          </w:tcPr>
          <w:p>
            <w:pPr>
              <w:pStyle w:val="922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t xml:space="preserve"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а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  <w:p>
            <w:pPr>
              <w:pStyle w:val="926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ECTS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restart"/>
            <w:textDirection w:val="lrTb"/>
            <w:noWrap w:val="false"/>
          </w:tcPr>
          <w:p>
            <w:pPr>
              <w:pStyle w:val="925"/>
              <w:pBdr/>
              <w:spacing w:before="0" w:line="220" w:lineRule="auto"/>
              <w:ind w:right="-108"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шкалою університету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top"/>
            <w:textDirection w:val="lrTb"/>
            <w:noWrap w:val="false"/>
          </w:tcPr>
          <w:p>
            <w:pPr>
              <w:pStyle w:val="923"/>
              <w:pBdr/>
              <w:tabs>
                <w:tab w:val="left" w:leader="none" w:pos="0"/>
              </w:tabs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національною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5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continue"/>
            <w:textDirection w:val="lrTb"/>
            <w:noWrap w:val="false"/>
          </w:tcPr>
          <w:p>
            <w:pPr>
              <w:pStyle w:val="922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continue"/>
            <w:textDirection w:val="lrTb"/>
            <w:noWrap w:val="false"/>
          </w:tcPr>
          <w:p>
            <w:pPr>
              <w:pStyle w:val="925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top"/>
            <w:textDirection w:val="lrTb"/>
            <w:noWrap w:val="false"/>
          </w:tcPr>
          <w:p>
            <w:pPr>
              <w:pStyle w:val="923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Екзамен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top"/>
            <w:textDirection w:val="lrTb"/>
            <w:noWrap w:val="false"/>
          </w:tcPr>
          <w:p>
            <w:pPr>
              <w:pStyle w:val="923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Залік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A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90 – 100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pStyle w:val="924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5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24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B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85 – 89 (дуже 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C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75 – 84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D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70 – 74 (задовільно) 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 (задовільно)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E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60 – 69 (достатньо)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FX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35 – 59 (незадовільно – з можливістю повторного складання)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2 (незадовільно)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Не 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1 – 34 (незадовільно – з обов’язковим повторним курсом)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20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</w:tbl>
    <w:p>
      <w:pPr>
        <w:pStyle w:val="920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20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20"/>
        <w:pBdr/>
        <w:shd w:val="clear" w:color="auto" w:fill="ffffff"/>
        <w:spacing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Рекомендована література: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bCs/>
          <w:i/>
          <w:sz w:val="28"/>
          <w:szCs w:val="28"/>
          <w:highlight w:val="none"/>
          <w:lang w:val="ru-RU"/>
        </w:rPr>
      </w:pPr>
      <w:r>
        <w:rPr>
          <w:b/>
          <w:sz w:val="28"/>
          <w:szCs w:val="28"/>
          <w:lang w:val="ru-RU"/>
        </w:rPr>
        <w:tab/>
      </w:r>
      <w:r>
        <w:rPr>
          <w:bCs/>
          <w:i/>
          <w:sz w:val="28"/>
          <w:szCs w:val="28"/>
          <w:highlight w:val="none"/>
          <w:lang w:val="ru-RU"/>
        </w:rPr>
      </w:r>
      <w:r>
        <w:rPr>
          <w:bCs/>
          <w:i/>
          <w:sz w:val="28"/>
          <w:szCs w:val="28"/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1.  MILLER’S ANATOMY of the DOG. Evans de Lahunta, 2013. 850 p.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2. Systém policajnej kynológie / Urišin, V., et al. Кошице: UVLF v Košiciach, 2020. 458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3. Vaccination Guidelines for the Owners and Breeders of Dogs and Cats 2015. URL : https://wsava.org/wpcontent/uploads/2020/01/WSAVA-Owner-Breeder-Guidelines-2015-Russian.pdf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4. Безуглая И. Дог-фитнес. Ваша здоровая собака. Харьков : Sunny Dog, 2019. 262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5. Безуглая И. Экстренная помощь собаке. Руководство для хозяина. Харьков : Sunny Dog, 2018. 145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6. Гиль М.І., Коновалов О.В., Агапова Є.М., Сусол Р.Л. Дресирування собак: навч. посіб. Одеса : ОДАУ, 2011. 320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7. Кінологія: утримання та годівля собак : навч. посіб. / В.А. Бурлака та ін. Житомир : Вид-во «Волинь», 2004, 412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8. Ковбенко О.А. Довідник мисливця. Харків, 2021. 276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9. Медоуз Г., Флинт Э. Ваша собака. Полное практическое руководство. Харьков : Книжковий Клуб «Клуб Сімейного Дозвілля», 2011. 192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10. Основи кінології : навч. посіб. / В.В. Чмелюк та ін. Ун-т державної фіскальної служби України. Ірпінь, 2019. 126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11. Петричекно В.В., Лебедєва Н.І., Карташова Я.М. Мисливська кінологія : навч. посіб. для студентів освітньо-кваліфікаційного рівня «бакалавр» напряму підготовки «Лісове та садово-паркове господарство». Запоріжжя : ЗНУ, 2013. 88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12. Поліщук Ф.Й., Трофіменко О.Л. Кінологія : підруч. для вищ. навч. закл. Київ; Ірпінь : ВТФ «Перун», 2007. 1000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13. Прайор К. Мистецтво виховання та дресирування. Київ : Книжковий клуб «Клуб Сімейного Дозвілля», 2021. 320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14. Хомич В.Т., Горальський Л.П., Ших Ю.С. Морфологія собаки : навч. посіб. Житомир: Полісся, 2013. 473 с.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15. Целлариус А. Собака. Полное руководство по дрессировке и уходу. Киев : АСТ, 2021. 480 с.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lang w:val="ru-RU"/>
        </w:rPr>
      </w:pPr>
      <w:r>
        <w:rPr>
          <w:b/>
        </w:rPr>
        <w:t xml:space="preserve">Інформаційні джерела</w:t>
      </w:r>
      <w:r>
        <w:t xml:space="preserve">: </w:t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 1. Animal Defense League of Texas. URL :   https://adltexas.org/donate/?gclid=Cj0KCQjws4aKBhDPARIsAIWH0JUGEcU1lXwp5JgdmcNeku3ixHVMVdTBC6evIXB2ls8GGDnXujyNd4aAm53EALw_wcB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2. Responsible dog breeding guidelines. URL : https://ec.europa.eu/food/system/files/2020-11/aw_platform_plat-conc_guide_dogbreeding.pdf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3. Royal-canin URL : https://www.royalcanin.com/ru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4. SunnyDog Academy URL : https://sunny.dog/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5. Vetmeduni. Applied Cynology. URL : https://www.vetmeduni.ac.at/en/studies/lifelong-learning/university-courses/applied-cynology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6. Всеукраїнська асоціація мисливців та користувачів мисливських угідь. URL : https://www.uahhg.org.ua/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7. ЗооДруг URL : http://zoodrug.ua/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8. Кінологічна спілка України URL : http://uku.com.ua/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  <w:t xml:space="preserve">9. Породи собак URL : https://kisapes.ru/dogs/ </w:t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lang w:val="ru-RU"/>
        </w:rPr>
      </w:pPr>
      <w:r>
        <w:rPr>
          <w:highlight w:val="none"/>
          <w:lang w:val="ru-RU"/>
        </w:rPr>
        <w:t xml:space="preserve">10.Утримання домашніх тварин URL : https://wiki.1551.gov.ua/pages/viewpage.action?pageId=11796805 </w:t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567" w:left="0"/>
        <w:jc w:val="left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</w:r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/>
      <w:r>
        <w:rPr>
          <w:highlight w:val="none"/>
          <w:lang w:val="ru-RU"/>
        </w:rPr>
      </w:r>
      <w:r/>
    </w:p>
    <w:p>
      <w:pPr>
        <w:pStyle w:val="920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20"/>
        <w:pBdr/>
        <w:spacing/>
        <w:ind/>
        <w:jc w:val="center"/>
        <w:rPr>
          <w:b/>
          <w:bCs/>
          <w:color w:val="000000"/>
          <w:highlight w:val="yellow"/>
          <w:lang w:val="uk-UA"/>
        </w:rPr>
      </w:pPr>
      <w:r>
        <w:rPr>
          <w:b/>
          <w:bCs/>
          <w:lang w:val="uk-UA"/>
        </w:rPr>
        <w:t xml:space="preserve">7</w:t>
      </w:r>
      <w:r>
        <w:rPr>
          <w:b/>
          <w:bCs/>
          <w:lang w:val="uk-UA"/>
        </w:rPr>
        <w:t xml:space="preserve">. Регуляції</w:t>
      </w:r>
      <w:r>
        <w:rPr>
          <w:b/>
          <w:bCs/>
          <w:color w:val="000000"/>
          <w:lang w:val="uk-UA"/>
        </w:rPr>
        <w:t xml:space="preserve"> і політики курсу</w:t>
      </w:r>
      <w:r>
        <w:rPr>
          <w:b/>
          <w:bCs/>
          <w:color w:val="000000"/>
          <w:highlight w:val="yellow"/>
          <w:lang w:val="uk-UA"/>
        </w:rPr>
      </w:r>
      <w:r>
        <w:rPr>
          <w:b/>
          <w:bCs/>
          <w:color w:val="000000"/>
          <w:highlight w:val="yellow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Відвідування занять. Регуляція пропусків.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58"/>
        <w:pBdr/>
        <w:spacing/>
        <w:ind w:right="102"/>
        <w:jc w:val="both"/>
        <w:rPr>
          <w:lang w:val="ru-RU"/>
        </w:rPr>
      </w:pPr>
      <w:r>
        <w:rPr>
          <w:lang w:val="ru-RU"/>
        </w:rPr>
        <w:t xml:space="preserve"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занятті.</w:t>
      </w: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 w:right="103"/>
        <w:jc w:val="both"/>
        <w:rPr>
          <w:lang w:val="ru-RU"/>
        </w:rPr>
      </w:pPr>
      <w:r>
        <w:rPr>
          <w:lang w:val="ru-RU"/>
        </w:rPr>
        <w:t xml:space="preserve"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допускаються.</w:t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Політика академічної доброчесності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lang w:val="ru-RU"/>
        </w:rPr>
      </w:pPr>
      <w:r>
        <w:rPr>
          <w:lang w:val="ru-RU"/>
        </w:rPr>
        <w:t xml:space="preserve">Усі</w:t>
      </w:r>
      <w:r>
        <w:rPr>
          <w:spacing w:val="45"/>
          <w:lang w:val="ru-RU"/>
        </w:rPr>
        <w:t xml:space="preserve"> </w:t>
      </w:r>
      <w:r>
        <w:rPr>
          <w:lang w:val="uk-UA"/>
        </w:rPr>
        <w:t xml:space="preserve">роботи</w:t>
      </w:r>
      <w:r>
        <w:rPr>
          <w:lang w:val="ru-RU"/>
        </w:rPr>
        <w:t xml:space="preserve">,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що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виконуються</w:t>
      </w:r>
      <w:r>
        <w:rPr>
          <w:spacing w:val="43"/>
          <w:lang w:val="ru-RU"/>
        </w:rPr>
        <w:t xml:space="preserve"> </w:t>
      </w:r>
      <w:r>
        <w:rPr>
          <w:lang w:val="uk-UA"/>
        </w:rPr>
        <w:t xml:space="preserve">здобувачами вишої освіти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5"/>
          <w:lang w:val="ru-RU"/>
        </w:rPr>
        <w:t xml:space="preserve"> </w:t>
      </w:r>
      <w:r>
        <w:rPr>
          <w:lang w:val="ru-RU"/>
        </w:rPr>
        <w:t xml:space="preserve">час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проходження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курсу,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перевіряються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наявність</w:t>
        <w:tab/>
        <w:t xml:space="preserve">плагіату</w:t>
      </w:r>
      <w:r>
        <w:rPr>
          <w:lang w:val="uk-UA"/>
        </w:rPr>
        <w:t xml:space="preserve"> </w:t>
      </w:r>
      <w:r>
        <w:rPr>
          <w:lang w:val="ru-RU"/>
        </w:rPr>
        <w:t xml:space="preserve">за</w:t>
      </w:r>
      <w:r>
        <w:rPr>
          <w:lang w:val="uk-UA"/>
        </w:rPr>
        <w:t xml:space="preserve"> </w:t>
      </w:r>
      <w:r>
        <w:rPr>
          <w:lang w:val="ru-RU"/>
        </w:rPr>
        <w:t xml:space="preserve">допомогою</w:t>
      </w:r>
      <w:r>
        <w:rPr>
          <w:lang w:val="uk-UA"/>
        </w:rPr>
        <w:t xml:space="preserve"> </w:t>
      </w:r>
      <w:r>
        <w:rPr>
          <w:lang w:val="ru-RU"/>
        </w:rPr>
        <w:t xml:space="preserve">спеціалізованого</w:t>
      </w:r>
      <w:r>
        <w:rPr>
          <w:lang w:val="uk-UA"/>
        </w:rPr>
        <w:t xml:space="preserve"> </w:t>
      </w:r>
      <w:r>
        <w:rPr>
          <w:lang w:val="ru-RU"/>
        </w:rPr>
        <w:t xml:space="preserve">програмного</w:t>
      </w:r>
      <w:r>
        <w:rPr>
          <w:lang w:val="uk-UA"/>
        </w:rPr>
        <w:t xml:space="preserve"> </w:t>
      </w:r>
      <w:r>
        <w:rPr>
          <w:lang w:val="ru-RU"/>
        </w:rPr>
        <w:t xml:space="preserve">забезпечення</w:t>
      </w:r>
      <w:r>
        <w:rPr>
          <w:lang w:val="uk-UA"/>
        </w:rPr>
        <w:t xml:space="preserve"> </w:t>
      </w:r>
      <w:r>
        <w:t xml:space="preserve">UniCheck</w:t>
      </w:r>
      <w:r>
        <w:rPr>
          <w:lang w:val="ru-RU"/>
        </w:rPr>
        <w:t xml:space="preserve">.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 xml:space="preserve"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 xml:space="preserve"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t xml:space="preserve">Moode</w:t>
      </w:r>
      <w:r>
        <w:rPr>
          <w:lang w:val="ru-RU"/>
        </w:rPr>
        <w:t xml:space="preserve">: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HYPERLINK</w:instrText>
      </w:r>
      <w:r>
        <w:rPr>
          <w:lang w:val="ru-RU"/>
        </w:rPr>
        <w:instrText xml:space="preserve"> "</w:instrText>
      </w:r>
      <w:r>
        <w:instrText xml:space="preserve">https</w:instrText>
      </w:r>
      <w:r>
        <w:rPr>
          <w:lang w:val="ru-RU"/>
        </w:rPr>
        <w:instrText xml:space="preserve">://</w:instrText>
      </w:r>
      <w:r>
        <w:instrText xml:space="preserve">moodle</w:instrText>
      </w:r>
      <w:r>
        <w:rPr>
          <w:lang w:val="ru-RU"/>
        </w:rPr>
        <w:instrText xml:space="preserve">.</w:instrText>
      </w:r>
      <w:r>
        <w:instrText xml:space="preserve">znu</w:instrText>
      </w:r>
      <w:r>
        <w:rPr>
          <w:lang w:val="ru-RU"/>
        </w:rPr>
        <w:instrText xml:space="preserve">.</w:instrText>
      </w:r>
      <w:r>
        <w:instrText xml:space="preserve">edu</w:instrText>
      </w:r>
      <w:r>
        <w:rPr>
          <w:lang w:val="ru-RU"/>
        </w:rPr>
        <w:instrText xml:space="preserve">.</w:instrText>
      </w:r>
      <w:r>
        <w:instrText xml:space="preserve">ua</w:instrText>
      </w:r>
      <w:r>
        <w:rPr>
          <w:lang w:val="ru-RU"/>
        </w:rPr>
        <w:instrText xml:space="preserve">/</w:instrText>
      </w:r>
      <w:r>
        <w:instrText xml:space="preserve">mod</w:instrText>
      </w:r>
      <w:r>
        <w:rPr>
          <w:lang w:val="ru-RU"/>
        </w:rPr>
        <w:instrText xml:space="preserve">/</w:instrText>
      </w:r>
      <w:r>
        <w:instrText xml:space="preserve">resource</w:instrText>
      </w:r>
      <w:r>
        <w:rPr>
          <w:lang w:val="ru-RU"/>
        </w:rPr>
        <w:instrText xml:space="preserve">/</w:instrText>
      </w:r>
      <w:r>
        <w:instrText xml:space="preserve">view</w:instrText>
      </w:r>
      <w:r>
        <w:rPr>
          <w:lang w:val="ru-RU"/>
        </w:rPr>
        <w:instrText xml:space="preserve">.</w:instrText>
      </w:r>
      <w:r>
        <w:instrText xml:space="preserve">php</w:instrText>
      </w:r>
      <w:r>
        <w:rPr>
          <w:lang w:val="ru-RU"/>
        </w:rPr>
        <w:instrText xml:space="preserve">?</w:instrText>
      </w:r>
      <w:r>
        <w:instrText xml:space="preserve">id</w:instrText>
      </w:r>
      <w:r>
        <w:rPr>
          <w:lang w:val="ru-RU"/>
        </w:rPr>
        <w:instrText xml:space="preserve">=103857" \</w:instrText>
      </w:r>
      <w:r>
        <w:instrText xml:space="preserve">h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color w:val="0000ff"/>
          <w:u w:val="single"/>
        </w:rPr>
        <w:t xml:space="preserve">https</w:t>
      </w:r>
      <w:r>
        <w:rPr>
          <w:color w:val="0000ff"/>
          <w:u w:val="single"/>
          <w:lang w:val="ru-RU"/>
        </w:rPr>
        <w:t xml:space="preserve">://</w:t>
      </w:r>
      <w:r>
        <w:rPr>
          <w:color w:val="0000ff"/>
          <w:u w:val="single"/>
        </w:rPr>
        <w:t xml:space="preserve">moodle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znu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edu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ua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mod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resource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view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php</w:t>
      </w:r>
      <w:r>
        <w:rPr>
          <w:color w:val="0000ff"/>
          <w:u w:val="single"/>
          <w:lang w:val="ru-RU"/>
        </w:rPr>
        <w:t xml:space="preserve">?</w:t>
      </w:r>
      <w:r>
        <w:rPr>
          <w:color w:val="0000ff"/>
          <w:u w:val="single"/>
        </w:rPr>
        <w:t xml:space="preserve">id</w:t>
      </w:r>
      <w:r>
        <w:rPr>
          <w:color w:val="0000ff"/>
          <w:u w:val="single"/>
          <w:lang w:val="ru-RU"/>
        </w:rPr>
        <w:t xml:space="preserve">=103857</w:t>
      </w:r>
      <w:r>
        <w:rPr>
          <w:color w:val="0000ff"/>
          <w:u w:val="single"/>
        </w:rPr>
        <w:fldChar w:fldCharType="end"/>
      </w:r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 xml:space="preserve"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 xml:space="preserve"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викладачем.</w:t>
      </w: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58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20"/>
        <w:pBdr/>
        <w:spacing/>
        <w:ind/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 xml:space="preserve">Визнання результатів неформальної/інформальної освіти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iCs/>
          <w:highlight w:val="none"/>
          <w:lang w:val="uk-UA"/>
        </w:rPr>
      </w:pPr>
      <w:r>
        <w:rPr>
          <w:lang w:val="ru-RU"/>
        </w:rPr>
        <w:t xml:space="preserve">В</w:t>
      </w:r>
      <w:r>
        <w:rPr>
          <w:lang w:val="ru-RU"/>
        </w:rPr>
        <w:t xml:space="preserve">рахування результатів</w:t>
      </w:r>
      <w:r>
        <w:rPr>
          <w:lang w:val="ru-RU"/>
        </w:rPr>
        <w:t xml:space="preserve">, отриманих здобувачем за рахунок неформальної/інформальної освіти</w:t>
      </w:r>
      <w:r>
        <w:rPr>
          <w:lang w:val="ru-RU"/>
        </w:rPr>
        <w:t xml:space="preserve">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</w:t>
      </w:r>
      <w:hyperlink r:id="rId10" w:tooltip="https://sites.znu.edu.ua/navchalnyj_viddil/3647.ukr.html" w:history="1">
        <w:r>
          <w:rPr>
            <w:rStyle w:val="916"/>
            <w:lang w:val="uk-UA"/>
          </w:rPr>
          <w:t xml:space="preserve">https://sites.znu.edu.ua/navchalnyj_viddil/3647.ukr.html</w:t>
        </w:r>
        <w:r>
          <w:rPr>
            <w:rStyle w:val="916"/>
            <w:i/>
            <w:iCs/>
            <w:lang w:val="uk-UA"/>
          </w:rPr>
        </w:r>
        <w:r>
          <w:rPr>
            <w:rStyle w:val="916"/>
            <w:i/>
            <w:iCs/>
            <w:lang w:val="uk-UA"/>
          </w:rPr>
        </w:r>
      </w:hyperlink>
      <w:r>
        <w:rPr>
          <w:i/>
          <w:iCs/>
          <w:color w:val="000000"/>
          <w:lang w:val="uk-UA"/>
        </w:rPr>
      </w:r>
      <w:r>
        <w:rPr>
          <w:iCs/>
          <w:highlight w:val="none"/>
          <w:lang w:val="uk-UA"/>
        </w:rPr>
      </w:r>
    </w:p>
    <w:p>
      <w:pPr>
        <w:pStyle w:val="958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bCs/>
          <w:i/>
          <w:color w:val="000000"/>
          <w:lang w:val="uk-UA"/>
        </w:rPr>
      </w:pPr>
      <w:r>
        <w:rPr>
          <w:highlight w:val="none"/>
          <w:lang w:val="uk-UA"/>
        </w:rPr>
      </w:r>
      <w:r>
        <w:rPr>
          <w:highlight w:val="none"/>
          <w:lang w:val="uk-UA"/>
        </w:rPr>
      </w:r>
      <w:r>
        <w:rPr>
          <w:bCs/>
          <w:i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center"/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 xml:space="preserve">Додаткова інформація</w:t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"https://tinyurl.com/yckze4jd"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https://tinyurl.com/yckze4jd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 xml:space="preserve">Перевірка набутих студентами знань, навичок та вмінь (</w:t>
      </w:r>
      <w:r>
        <w:rPr>
          <w:color w:val="000000"/>
          <w:lang w:val="uk-UA"/>
        </w:rPr>
        <w:t xml:space="preserve">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r>
        <w:rPr>
          <w:lang w:val="uk-UA"/>
        </w:rPr>
        <w:fldChar w:fldCharType="begin"/>
      </w:r>
      <w:r>
        <w:rPr>
          <w:lang w:val="uk-UA"/>
        </w:rPr>
        <w:instrText xml:space="preserve"> HYPERLINK "https://tinyurl.com/y9tve4lk" </w:instrText>
      </w:r>
      <w:r>
        <w:rPr>
          <w:lang w:val="uk-UA"/>
        </w:rPr>
        <w:fldChar w:fldCharType="separate"/>
      </w:r>
      <w:r>
        <w:rPr>
          <w:rStyle w:val="938"/>
          <w:bCs/>
          <w:shd w:val="clear" w:color="auto" w:fill="ffffff"/>
          <w:lang w:val="uk-UA"/>
        </w:rPr>
        <w:t xml:space="preserve">https://tinyurl.com/y9tve4lk</w:t>
      </w:r>
      <w:r>
        <w:rPr>
          <w:lang w:val="uk-UA"/>
        </w:rPr>
        <w:fldChar w:fldCharType="end"/>
      </w:r>
      <w:r>
        <w:rPr>
          <w:bCs/>
          <w:shd w:val="clear" w:color="auto" w:fill="ffffff"/>
          <w:lang w:val="uk-UA"/>
        </w:rPr>
        <w:t xml:space="preserve">.</w:t>
      </w:r>
      <w:r>
        <w:rPr>
          <w:color w:val="ff0000"/>
          <w:lang w:val="uk-UA"/>
        </w:rPr>
      </w:r>
      <w:r>
        <w:rPr>
          <w:color w:val="ff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</w:t>
      </w:r>
      <w:r>
        <w:rPr>
          <w:color w:val="000000"/>
          <w:lang w:val="uk-UA"/>
        </w:rPr>
        <w:t xml:space="preserve">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"https://tinyurl.com/y9pkmmp5"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https://tinyurl.com/y9pkmmp5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"https://tinyurl.com/ycds57la"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https://tinyurl.com/ycds57la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</w:t>
      </w:r>
      <w:r>
        <w:rPr>
          <w:color w:val="000000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"https://tinyurl.com/57wha734"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https://tinyurl.com/57wha734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Конфліктні ситуації, що вини</w:t>
      </w:r>
      <w:r>
        <w:rPr>
          <w:color w:val="000000"/>
          <w:lang w:val="uk-UA"/>
        </w:rPr>
        <w:t xml:space="preserve">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"https://tinyurl.com/yd6bq6p9"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https://tinyurl.com/yd6bq6p9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 xml:space="preserve"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"https://tinyurl.com/y9r5dpwh"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https://tinyurl.com/y9r5dpwh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 xml:space="preserve"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rFonts w:eastAsia="Times New Roman"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920"/>
        <w:pBdr/>
        <w:spacing/>
        <w:ind/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 xml:space="preserve"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 xml:space="preserve">Банах Віктор Аркадійович</w:t>
      </w:r>
      <w:r>
        <w:rPr>
          <w:rFonts w:eastAsia="Times New Roman"/>
          <w:b/>
          <w:bCs/>
          <w:lang w:val="uk-UA" w:eastAsia="uk-UA"/>
        </w:rPr>
      </w:r>
      <w:r>
        <w:rPr>
          <w:rFonts w:eastAsia="Times New Roman"/>
          <w:b/>
          <w:bCs/>
          <w:lang w:val="uk-UA" w:eastAsia="uk-UA"/>
        </w:rPr>
      </w:r>
    </w:p>
    <w:p>
      <w:pPr>
        <w:pStyle w:val="920"/>
        <w:pBdr/>
        <w:spacing/>
        <w:ind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</w:t>
      </w:r>
      <w:r>
        <w:rPr>
          <w:color w:val="000000"/>
          <w:lang w:val="uk-UA"/>
        </w:rPr>
        <w:t xml:space="preserve">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"https://tinyurl.com/ydhcsagx"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https://tinyurl.com/ydhcsagx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РЕСУРСИ ДЛЯ НАВЧАННЯ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20"/>
        <w:pBdr/>
        <w:spacing/>
        <w:ind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Наукова бібліотека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"http://library.znu.edu.ua" </w:instrText>
      </w:r>
      <w:r>
        <w:rPr>
          <w:color w:val="000000"/>
          <w:lang w:val="uk-UA"/>
        </w:rPr>
        <w:fldChar w:fldCharType="separate"/>
      </w:r>
      <w:r>
        <w:rPr>
          <w:rStyle w:val="938"/>
          <w:color w:val="000000"/>
          <w:lang w:val="uk-UA"/>
        </w:rPr>
        <w:t xml:space="preserve">http://library.znu.edu.ua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Графік роботи абонементів: понеділок-п`ятниця з 08.00 до 16.00; вихідні дні: субота і неділя.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color w:val="000000"/>
          <w:lang w:val="uk-UA"/>
        </w:rPr>
      </w:r>
    </w:p>
    <w:sectPr>
      <w:footnotePr/>
      <w:endnotePr/>
      <w:type w:val="nextPage"/>
      <w:pgSz w:h="16838" w:orient="portrait" w:w="11906"/>
      <w:pgMar w:top="1134" w:right="567" w:bottom="1134" w:left="1134" w:header="720" w:footer="720" w:gutter="0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Lohit Devanagari">
    <w:panose1 w:val="020B0600000000000000"/>
  </w:font>
  <w:font w:name="Wingdings">
    <w:panose1 w:val="05010000000000000000"/>
  </w:font>
  <w:font w:name="Liberation Sans">
    <w:panose1 w:val="020B0604020202020204"/>
  </w:font>
  <w:font w:name="Segoe UI">
    <w:panose1 w:val="020B0504020202020204"/>
  </w:font>
  <w:font w:name="Times New Roman Полужирный">
    <w:panose1 w:val="02020603050405020304"/>
  </w:font>
  <w:font w:name="Symbol">
    <w:panose1 w:val="05010000000000000000"/>
  </w:font>
  <w:font w:name="Times New Roman">
    <w:panose1 w:val="02020603050405020304"/>
  </w:font>
  <w:font w:name="MS Gothic">
    <w:panose1 w:val="020B06060303040B0204"/>
  </w:font>
  <w:font w:name="Calibri">
    <w:panose1 w:val="020F0502020204030204"/>
  </w:font>
  <w:font w:name="Times">
    <w:panose1 w:val="02020603050405020304"/>
  </w:font>
  <w:font w:name="Noto Sans CJK SC">
    <w:panose1 w:val="020B0500000000000000"/>
  </w:font>
  <w:font w:name="MS Mincho">
    <w:panose1 w:val="0202060305040509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67"/>
      <w:pBdr/>
      <w:tabs>
        <w:tab w:val="clear" w:leader="none" w:pos="9360"/>
        <w:tab w:val="right" w:leader="none" w:pos="10206"/>
      </w:tabs>
      <w:spacing/>
      <w:ind w:hanging="142"/>
      <w:rPr>
        <w:caps/>
        <w:lang w:val="uk-UA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1" locked="0" layoutInCell="1" allowOverlap="1">
              <wp:simplePos x="0" y="0"/>
              <wp:positionH relativeFrom="column">
                <wp:posOffset>5407025</wp:posOffset>
              </wp:positionH>
              <wp:positionV relativeFrom="paragraph">
                <wp:posOffset>-414654</wp:posOffset>
              </wp:positionV>
              <wp:extent cx="812165" cy="889000"/>
              <wp:effectExtent l="0" t="0" r="0" b="0"/>
              <wp:wrapNone/>
              <wp:docPr id="1" name="_x0000_s205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>
                      <a:blip r:embed="rId1"/>
                      <a:srcRect l="3989" t="0" r="73621" b="79276"/>
                      <a:stretch/>
                    </pic:blipFill>
                    <pic:spPr bwMode="auto">
                      <a:xfrm>
                        <a:off x="0" y="0"/>
                        <a:ext cx="812165" cy="889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524288;o:allowoverlap:true;o:allowincell:true;mso-position-horizontal-relative:text;margin-left:425.75pt;mso-position-horizontal:absolute;mso-position-vertical-relative:text;margin-top:-32.65pt;mso-position-vertical:absolute;width:63.95pt;height:70.00pt;mso-wrap-distance-left:9.00pt;mso-wrap-distance-top:0.00pt;mso-wrap-distance-right:9.00pt;mso-wrap-distance-bottom:0.00pt;z-index:1;" stroked="f">
              <v:imagedata r:id="rId1" o:title=""/>
              <o:lock v:ext="edit" rotation="t"/>
            </v:shape>
          </w:pict>
        </mc:Fallback>
      </mc:AlternateContent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</w:t>
    </w:r>
    <w:r>
      <w:rPr>
        <w:caps/>
        <w:lang w:val="uk-UA"/>
      </w:rPr>
      <w:t xml:space="preserve">       </w:t>
    </w:r>
    <w:r>
      <w:rPr>
        <w:caps/>
        <w:lang w:val="uk-UA"/>
      </w:rPr>
    </w:r>
    <w:r>
      <w:rPr>
        <w:caps/>
        <w:lang w:val="uk-UA"/>
      </w:rPr>
    </w:r>
  </w:p>
  <w:p>
    <w:pPr>
      <w:pStyle w:val="967"/>
      <w:pBdr/>
      <w:spacing/>
      <w:ind/>
      <w:jc w:val="center"/>
      <w:rPr>
        <w:lang w:val="uk-UA"/>
      </w:rPr>
    </w:pPr>
    <w:r>
      <w:rPr>
        <w:lang w:val="uk-UA"/>
      </w:rPr>
      <w:t xml:space="preserve">Силабус навчальної дисципліни</w:t>
    </w:r>
    <w:r>
      <w:rPr>
        <w:lang w:val="uk-UA"/>
      </w:rPr>
      <w:t xml:space="preserve">            </w:t>
    </w:r>
    <w:r>
      <w:rPr>
        <w:lang w:val="uk-UA"/>
      </w:rPr>
    </w:r>
    <w:r>
      <w:rPr>
        <w:lang w:val="uk-UA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1"/>
      <w:rPr/>
      <w:start w:val="1"/>
      <w:suff w:val="nothing"/>
    </w:lvl>
    <w:lvl w:ilvl="1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2"/>
      <w:rPr/>
      <w:start w:val="1"/>
      <w:suff w:val="nothing"/>
    </w:lvl>
    <w:lvl w:ilvl="2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3"/>
      <w:rPr/>
      <w:start w:val="1"/>
      <w:suff w:val="nothing"/>
    </w:lvl>
    <w:lvl w:ilvl="3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4"/>
      <w:rPr/>
      <w:start w:val="1"/>
      <w:suff w:val="nothing"/>
    </w:lvl>
    <w:lvl w:ilvl="4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5"/>
      <w:rPr/>
      <w:start w:val="1"/>
      <w:suff w:val="nothing"/>
    </w:lvl>
    <w:lvl w:ilvl="5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26"/>
      <w:rPr/>
      <w:start w:val="1"/>
      <w:suff w:val="nothing"/>
    </w:lvl>
    <w:lvl w:ilvl="6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spacing w:val="-13"/>
        <w:sz w:val="28"/>
        <w:szCs w:val="24"/>
        <w:lang w:val="uk-UA"/>
      </w:rPr>
      <w:start w:val="1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121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3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65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37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09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1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3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25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972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27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9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1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3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5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7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9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1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32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spacing/>
        <w:ind w:hanging="360" w:left="927"/>
      </w:pPr>
      <w:rPr/>
      <w:start w:val="7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1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6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2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8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9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8"/>
  </w:num>
  <w:num w:numId="32">
    <w:abstractNumId w:val="29"/>
  </w:num>
  <w:num w:numId="33">
    <w:abstractNumId w:val="30"/>
  </w:num>
  <w:num w:numId="34">
    <w:abstractNumId w:val="31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43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Table Grid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Table Grid Light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1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2"/>
    <w:basedOn w:val="74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Plain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1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2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3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4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5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6"/>
    <w:basedOn w:val="74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1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2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3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4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5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6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1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2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3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4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5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6"/>
    <w:basedOn w:val="74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1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2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3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4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5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6"/>
    <w:basedOn w:val="74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70">
    <w:name w:val="Heading 1"/>
    <w:basedOn w:val="920"/>
    <w:next w:val="920"/>
    <w:link w:val="88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71">
    <w:name w:val="Heading 2"/>
    <w:basedOn w:val="920"/>
    <w:next w:val="920"/>
    <w:link w:val="88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72">
    <w:name w:val="Heading 3"/>
    <w:basedOn w:val="920"/>
    <w:next w:val="920"/>
    <w:link w:val="88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73">
    <w:name w:val="Heading 4"/>
    <w:basedOn w:val="920"/>
    <w:next w:val="920"/>
    <w:link w:val="88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74">
    <w:name w:val="Heading 6"/>
    <w:basedOn w:val="920"/>
    <w:next w:val="920"/>
    <w:link w:val="88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75">
    <w:name w:val="Heading 7"/>
    <w:basedOn w:val="920"/>
    <w:next w:val="920"/>
    <w:link w:val="88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76">
    <w:name w:val="Heading 8"/>
    <w:basedOn w:val="920"/>
    <w:next w:val="920"/>
    <w:link w:val="88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77">
    <w:name w:val="Heading 9"/>
    <w:basedOn w:val="920"/>
    <w:next w:val="920"/>
    <w:link w:val="88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78" w:default="1">
    <w:name w:val="Default Paragraph Font"/>
    <w:uiPriority w:val="1"/>
    <w:semiHidden/>
    <w:unhideWhenUsed/>
    <w:pPr>
      <w:pBdr/>
      <w:spacing/>
      <w:ind/>
    </w:pPr>
  </w:style>
  <w:style w:type="numbering" w:styleId="879" w:default="1">
    <w:name w:val="No List"/>
    <w:uiPriority w:val="99"/>
    <w:semiHidden/>
    <w:unhideWhenUsed/>
    <w:pPr>
      <w:pBdr/>
      <w:spacing/>
      <w:ind/>
    </w:pPr>
  </w:style>
  <w:style w:type="character" w:styleId="880">
    <w:name w:val="Heading 1 Char"/>
    <w:basedOn w:val="878"/>
    <w:link w:val="8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81">
    <w:name w:val="Heading 2 Char"/>
    <w:basedOn w:val="878"/>
    <w:link w:val="8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82">
    <w:name w:val="Heading 3 Char"/>
    <w:basedOn w:val="878"/>
    <w:link w:val="87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83">
    <w:name w:val="Heading 4 Char"/>
    <w:basedOn w:val="878"/>
    <w:link w:val="873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84">
    <w:name w:val="Heading 5 Char"/>
    <w:basedOn w:val="878"/>
    <w:link w:val="97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85">
    <w:name w:val="Heading 6 Char"/>
    <w:basedOn w:val="878"/>
    <w:link w:val="87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86">
    <w:name w:val="Heading 7 Char"/>
    <w:basedOn w:val="878"/>
    <w:link w:val="87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87">
    <w:name w:val="Heading 8 Char"/>
    <w:basedOn w:val="878"/>
    <w:link w:val="87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88">
    <w:name w:val="Heading 9 Char"/>
    <w:basedOn w:val="878"/>
    <w:link w:val="87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89">
    <w:name w:val="Title"/>
    <w:basedOn w:val="920"/>
    <w:next w:val="920"/>
    <w:link w:val="89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90">
    <w:name w:val="Title Char"/>
    <w:basedOn w:val="878"/>
    <w:link w:val="8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91">
    <w:name w:val="Subtitle"/>
    <w:basedOn w:val="920"/>
    <w:next w:val="920"/>
    <w:link w:val="89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92">
    <w:name w:val="Subtitle Char"/>
    <w:basedOn w:val="878"/>
    <w:link w:val="8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93">
    <w:name w:val="Quote"/>
    <w:basedOn w:val="920"/>
    <w:next w:val="920"/>
    <w:link w:val="89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94">
    <w:name w:val="Quote Char"/>
    <w:basedOn w:val="878"/>
    <w:link w:val="89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95">
    <w:name w:val="Intense Emphasis"/>
    <w:basedOn w:val="87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96">
    <w:name w:val="Intense Quote"/>
    <w:basedOn w:val="920"/>
    <w:next w:val="920"/>
    <w:link w:val="89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97">
    <w:name w:val="Intense Quote Char"/>
    <w:basedOn w:val="878"/>
    <w:link w:val="89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98">
    <w:name w:val="Intense Reference"/>
    <w:basedOn w:val="87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99">
    <w:name w:val="No Spacing"/>
    <w:basedOn w:val="920"/>
    <w:uiPriority w:val="1"/>
    <w:qFormat/>
    <w:pPr>
      <w:pBdr/>
      <w:spacing w:after="0" w:line="240" w:lineRule="auto"/>
      <w:ind/>
    </w:pPr>
  </w:style>
  <w:style w:type="character" w:styleId="900">
    <w:name w:val="Subtle Emphasis"/>
    <w:basedOn w:val="87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01">
    <w:name w:val="Emphasis"/>
    <w:basedOn w:val="878"/>
    <w:uiPriority w:val="20"/>
    <w:qFormat/>
    <w:pPr>
      <w:pBdr/>
      <w:spacing/>
      <w:ind/>
    </w:pPr>
    <w:rPr>
      <w:i/>
      <w:iCs/>
    </w:rPr>
  </w:style>
  <w:style w:type="character" w:styleId="902">
    <w:name w:val="Strong"/>
    <w:basedOn w:val="878"/>
    <w:uiPriority w:val="22"/>
    <w:qFormat/>
    <w:pPr>
      <w:pBdr/>
      <w:spacing/>
      <w:ind/>
    </w:pPr>
    <w:rPr>
      <w:b/>
      <w:bCs/>
    </w:rPr>
  </w:style>
  <w:style w:type="character" w:styleId="903">
    <w:name w:val="Subtle Reference"/>
    <w:basedOn w:val="87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04">
    <w:name w:val="Book Title"/>
    <w:basedOn w:val="87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05">
    <w:name w:val="Header"/>
    <w:basedOn w:val="920"/>
    <w:link w:val="906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06">
    <w:name w:val="Header Char"/>
    <w:basedOn w:val="878"/>
    <w:link w:val="905"/>
    <w:uiPriority w:val="99"/>
    <w:pPr>
      <w:pBdr/>
      <w:spacing/>
      <w:ind/>
    </w:pPr>
  </w:style>
  <w:style w:type="paragraph" w:styleId="907">
    <w:name w:val="Footer"/>
    <w:basedOn w:val="920"/>
    <w:link w:val="908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08">
    <w:name w:val="Footer Char"/>
    <w:basedOn w:val="878"/>
    <w:link w:val="907"/>
    <w:uiPriority w:val="99"/>
    <w:pPr>
      <w:pBdr/>
      <w:spacing/>
      <w:ind/>
    </w:pPr>
  </w:style>
  <w:style w:type="paragraph" w:styleId="909">
    <w:name w:val="Caption"/>
    <w:basedOn w:val="920"/>
    <w:next w:val="92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10">
    <w:name w:val="footnote text"/>
    <w:basedOn w:val="920"/>
    <w:link w:val="91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1">
    <w:name w:val="Footnote Text Char"/>
    <w:basedOn w:val="878"/>
    <w:link w:val="910"/>
    <w:uiPriority w:val="99"/>
    <w:semiHidden/>
    <w:pPr>
      <w:pBdr/>
      <w:spacing/>
      <w:ind/>
    </w:pPr>
    <w:rPr>
      <w:sz w:val="20"/>
      <w:szCs w:val="20"/>
    </w:rPr>
  </w:style>
  <w:style w:type="character" w:styleId="912">
    <w:name w:val="foot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paragraph" w:styleId="913">
    <w:name w:val="endnote text"/>
    <w:basedOn w:val="920"/>
    <w:link w:val="91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4">
    <w:name w:val="Endnote Text Char"/>
    <w:basedOn w:val="878"/>
    <w:link w:val="913"/>
    <w:uiPriority w:val="99"/>
    <w:semiHidden/>
    <w:pPr>
      <w:pBdr/>
      <w:spacing/>
      <w:ind/>
    </w:pPr>
    <w:rPr>
      <w:sz w:val="20"/>
      <w:szCs w:val="20"/>
    </w:rPr>
  </w:style>
  <w:style w:type="character" w:styleId="915">
    <w:name w:val="end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character" w:styleId="916">
    <w:name w:val="Hyperlink"/>
    <w:basedOn w:val="87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17">
    <w:name w:val="FollowedHyperlink"/>
    <w:basedOn w:val="87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18">
    <w:name w:val="TOC Heading"/>
    <w:uiPriority w:val="39"/>
    <w:unhideWhenUsed/>
    <w:pPr>
      <w:pBdr/>
      <w:spacing/>
      <w:ind/>
    </w:pPr>
  </w:style>
  <w:style w:type="paragraph" w:styleId="919">
    <w:name w:val="table of figures"/>
    <w:basedOn w:val="920"/>
    <w:next w:val="920"/>
    <w:uiPriority w:val="99"/>
    <w:unhideWhenUsed/>
    <w:pPr>
      <w:pBdr/>
      <w:spacing w:after="0" w:afterAutospacing="0"/>
      <w:ind/>
    </w:pPr>
  </w:style>
  <w:style w:type="paragraph" w:styleId="920" w:default="1">
    <w:name w:val="Normal"/>
    <w:next w:val="920"/>
    <w:link w:val="920"/>
    <w:qFormat/>
    <w:pPr>
      <w:pBdr/>
      <w:spacing/>
      <w:ind/>
    </w:pPr>
    <w:rPr>
      <w:rFonts w:eastAsia="MS Mincho"/>
      <w:sz w:val="24"/>
      <w:szCs w:val="24"/>
      <w:lang w:val="en-US" w:eastAsia="zh-CN" w:bidi="ar-SA"/>
    </w:rPr>
  </w:style>
  <w:style w:type="paragraph" w:styleId="921">
    <w:name w:val="Заголовок 1"/>
    <w:basedOn w:val="920"/>
    <w:next w:val="958"/>
    <w:link w:val="920"/>
    <w:qFormat/>
    <w:pPr>
      <w:numPr>
        <w:ilvl w:val="0"/>
        <w:numId w:val="1"/>
      </w:numPr>
      <w:pBdr/>
      <w:spacing w:after="280" w:before="280"/>
      <w:ind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922">
    <w:name w:val="Заголовок 2"/>
    <w:basedOn w:val="920"/>
    <w:next w:val="920"/>
    <w:link w:val="920"/>
    <w:qFormat/>
    <w:pPr>
      <w:keepNext w:val="true"/>
      <w:keepLines w:val="true"/>
      <w:numPr>
        <w:ilvl w:val="1"/>
        <w:numId w:val="1"/>
      </w:numPr>
      <w:pBdr/>
      <w:spacing w:after="0" w:before="40"/>
      <w:ind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923">
    <w:name w:val="Заголовок 3"/>
    <w:basedOn w:val="920"/>
    <w:next w:val="920"/>
    <w:link w:val="920"/>
    <w:qFormat/>
    <w:pPr>
      <w:keepNext w:val="true"/>
      <w:keepLines w:val="true"/>
      <w:numPr>
        <w:ilvl w:val="2"/>
        <w:numId w:val="1"/>
      </w:numPr>
      <w:pBdr/>
      <w:spacing w:after="0" w:before="40"/>
      <w:ind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924">
    <w:name w:val="Заголовок 4"/>
    <w:basedOn w:val="920"/>
    <w:next w:val="920"/>
    <w:link w:val="920"/>
    <w:qFormat/>
    <w:pPr>
      <w:keepNext w:val="true"/>
      <w:keepLines w:val="true"/>
      <w:numPr>
        <w:ilvl w:val="3"/>
        <w:numId w:val="1"/>
      </w:numPr>
      <w:pBdr/>
      <w:spacing w:after="0" w:before="40"/>
      <w:ind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925">
    <w:name w:val="Заголовок 5"/>
    <w:basedOn w:val="920"/>
    <w:next w:val="920"/>
    <w:link w:val="920"/>
    <w:qFormat/>
    <w:pPr>
      <w:keepNext w:val="true"/>
      <w:keepLines w:val="true"/>
      <w:numPr>
        <w:ilvl w:val="4"/>
        <w:numId w:val="1"/>
      </w:numPr>
      <w:pBdr/>
      <w:spacing w:after="0" w:before="40"/>
      <w:ind/>
      <w:outlineLvl w:val="4"/>
    </w:pPr>
    <w:rPr>
      <w:rFonts w:ascii="Calibri" w:hAnsi="Calibri" w:eastAsia="MS Gothic" w:cs="Calibri"/>
      <w:color w:val="365f91"/>
      <w:lang w:val="en-US"/>
    </w:rPr>
  </w:style>
  <w:style w:type="paragraph" w:styleId="926">
    <w:name w:val="Заголовок 6"/>
    <w:basedOn w:val="920"/>
    <w:next w:val="920"/>
    <w:link w:val="920"/>
    <w:qFormat/>
    <w:pPr>
      <w:keepNext w:val="true"/>
      <w:keepLines w:val="true"/>
      <w:numPr>
        <w:ilvl w:val="5"/>
        <w:numId w:val="1"/>
      </w:numPr>
      <w:pBdr/>
      <w:spacing w:after="0" w:before="40"/>
      <w:ind/>
      <w:outlineLvl w:val="5"/>
    </w:pPr>
    <w:rPr>
      <w:rFonts w:ascii="Calibri" w:hAnsi="Calibri" w:eastAsia="MS Gothic" w:cs="Calibri"/>
      <w:color w:val="243f60"/>
      <w:lang w:val="en-US"/>
    </w:rPr>
  </w:style>
  <w:style w:type="character" w:styleId="927">
    <w:name w:val="Основной шрифт абзаца"/>
    <w:next w:val="927"/>
    <w:link w:val="920"/>
    <w:uiPriority w:val="1"/>
    <w:semiHidden/>
    <w:unhideWhenUsed/>
    <w:pPr>
      <w:pBdr/>
      <w:spacing/>
      <w:ind/>
    </w:pPr>
  </w:style>
  <w:style w:type="table" w:styleId="928">
    <w:name w:val="Обычная таблица"/>
    <w:next w:val="928"/>
    <w:link w:val="920"/>
    <w:uiPriority w:val="99"/>
    <w:semiHidden/>
    <w:unhideWhenUsed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29">
    <w:name w:val="Нет списка"/>
    <w:next w:val="929"/>
    <w:link w:val="920"/>
    <w:uiPriority w:val="99"/>
    <w:semiHidden/>
    <w:unhideWhenUsed/>
    <w:pPr>
      <w:pBdr/>
      <w:spacing/>
      <w:ind/>
    </w:pPr>
  </w:style>
  <w:style w:type="character" w:styleId="930">
    <w:name w:val="WW8Num1z0"/>
    <w:next w:val="930"/>
    <w:link w:val="920"/>
    <w:pPr>
      <w:pBdr/>
      <w:spacing/>
      <w:ind/>
    </w:pPr>
    <w:rPr>
      <w:rFonts w:cs="Times New Roman"/>
      <w:b w:val="0"/>
    </w:rPr>
  </w:style>
  <w:style w:type="character" w:styleId="931">
    <w:name w:val="WW8Num1z1"/>
    <w:next w:val="931"/>
    <w:link w:val="920"/>
    <w:pPr>
      <w:pBdr/>
      <w:spacing/>
      <w:ind/>
    </w:pPr>
    <w:rPr>
      <w:rFonts w:cs="Times New Roman"/>
    </w:rPr>
  </w:style>
  <w:style w:type="character" w:styleId="932">
    <w:name w:val="WW8Num2z0"/>
    <w:next w:val="932"/>
    <w:link w:val="920"/>
    <w:pPr>
      <w:pBdr/>
      <w:spacing/>
      <w:ind/>
    </w:pPr>
    <w:rPr>
      <w:rFonts w:cs="Times New Roman"/>
    </w:rPr>
  </w:style>
  <w:style w:type="character" w:styleId="933">
    <w:name w:val="WW8Num3z0"/>
    <w:next w:val="933"/>
    <w:link w:val="920"/>
    <w:pPr>
      <w:pBdr/>
      <w:spacing/>
      <w:ind/>
    </w:pPr>
    <w:rPr>
      <w:rFonts w:cs="Times New Roman"/>
      <w:b w:val="0"/>
    </w:rPr>
  </w:style>
  <w:style w:type="character" w:styleId="934">
    <w:name w:val="WW8Num3z1"/>
    <w:next w:val="934"/>
    <w:link w:val="920"/>
    <w:pPr>
      <w:pBdr/>
      <w:spacing/>
      <w:ind/>
    </w:pPr>
    <w:rPr>
      <w:rFonts w:cs="Times New Roman"/>
    </w:rPr>
  </w:style>
  <w:style w:type="character" w:styleId="935">
    <w:name w:val="WW8Num4z0"/>
    <w:next w:val="935"/>
    <w:link w:val="920"/>
    <w:pPr>
      <w:pBdr/>
      <w:spacing/>
      <w:ind/>
    </w:pPr>
    <w:rPr>
      <w:rFonts w:ascii="Symbol" w:hAnsi="Symbol" w:cs="Symbol"/>
    </w:rPr>
  </w:style>
  <w:style w:type="character" w:styleId="936">
    <w:name w:val="WW8Num4z1"/>
    <w:next w:val="936"/>
    <w:link w:val="920"/>
    <w:pPr>
      <w:pBdr/>
      <w:spacing/>
      <w:ind/>
    </w:pPr>
    <w:rPr>
      <w:rFonts w:cs="Times New Roman"/>
    </w:rPr>
  </w:style>
  <w:style w:type="character" w:styleId="937">
    <w:name w:val="Основной шрифт абзаца1"/>
    <w:next w:val="937"/>
    <w:link w:val="920"/>
    <w:pPr>
      <w:pBdr/>
      <w:spacing/>
      <w:ind/>
    </w:pPr>
  </w:style>
  <w:style w:type="character" w:styleId="938">
    <w:name w:val="Гиперссылка"/>
    <w:next w:val="938"/>
    <w:link w:val="920"/>
    <w:uiPriority w:val="99"/>
    <w:pPr>
      <w:pBdr/>
      <w:spacing/>
      <w:ind/>
    </w:pPr>
    <w:rPr>
      <w:rFonts w:cs="Times New Roman"/>
      <w:color w:val="0000ff"/>
      <w:u w:val="single"/>
    </w:rPr>
  </w:style>
  <w:style w:type="character" w:styleId="939">
    <w:name w:val="Заголовок 3 Знак"/>
    <w:next w:val="939"/>
    <w:link w:val="920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40">
    <w:name w:val="Заголовок 4 Знак"/>
    <w:next w:val="940"/>
    <w:link w:val="920"/>
    <w:pPr>
      <w:pBdr/>
      <w:spacing/>
      <w:ind/>
    </w:pPr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941">
    <w:name w:val="Заголовок 5 Знак"/>
    <w:next w:val="941"/>
    <w:link w:val="920"/>
    <w:pPr>
      <w:pBdr/>
      <w:spacing/>
      <w:ind/>
    </w:pPr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942">
    <w:name w:val="Заголовок 6 Знак"/>
    <w:next w:val="942"/>
    <w:link w:val="920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43">
    <w:name w:val="Заголовок 2 Знак"/>
    <w:next w:val="943"/>
    <w:link w:val="920"/>
    <w:pPr>
      <w:pBdr/>
      <w:spacing/>
      <w:ind/>
    </w:pPr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944">
    <w:name w:val="Заголовок 1 Знак"/>
    <w:next w:val="944"/>
    <w:link w:val="920"/>
    <w:pPr>
      <w:pBdr/>
      <w:spacing/>
      <w:ind/>
    </w:pPr>
    <w:rPr>
      <w:rFonts w:ascii="Times" w:hAnsi="Times" w:cs="Times New Roman"/>
      <w:b/>
      <w:bCs/>
      <w:sz w:val="48"/>
      <w:szCs w:val="48"/>
      <w:lang w:val="en-US"/>
    </w:rPr>
  </w:style>
  <w:style w:type="character" w:styleId="945">
    <w:name w:val="apple-tab-span"/>
    <w:next w:val="945"/>
    <w:link w:val="920"/>
    <w:pPr>
      <w:pBdr/>
      <w:spacing/>
      <w:ind/>
    </w:pPr>
    <w:rPr>
      <w:rFonts w:cs="Times New Roman"/>
    </w:rPr>
  </w:style>
  <w:style w:type="character" w:styleId="946">
    <w:name w:val="s1"/>
    <w:next w:val="946"/>
    <w:link w:val="920"/>
    <w:pPr>
      <w:pBdr/>
      <w:spacing/>
      <w:ind/>
    </w:pPr>
  </w:style>
  <w:style w:type="character" w:styleId="947">
    <w:name w:val="Текст выноски Знак"/>
    <w:next w:val="947"/>
    <w:link w:val="920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character" w:styleId="948">
    <w:name w:val="Footnote Characters"/>
    <w:next w:val="948"/>
    <w:link w:val="920"/>
    <w:pPr>
      <w:pBdr/>
      <w:spacing/>
      <w:ind/>
    </w:pPr>
    <w:rPr>
      <w:rFonts w:cs="Times New Roman"/>
      <w:vertAlign w:val="superscript"/>
    </w:rPr>
  </w:style>
  <w:style w:type="character" w:styleId="949">
    <w:name w:val="Верхний колонтитул Знак"/>
    <w:next w:val="949"/>
    <w:link w:val="920"/>
    <w:uiPriority w:val="99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50">
    <w:name w:val="Просмотренная гиперссылка"/>
    <w:next w:val="950"/>
    <w:link w:val="920"/>
    <w:pPr>
      <w:pBdr/>
      <w:spacing/>
      <w:ind/>
    </w:pPr>
    <w:rPr>
      <w:rFonts w:cs="Times New Roman"/>
      <w:color w:val="800080"/>
      <w:u w:val="single"/>
    </w:rPr>
  </w:style>
  <w:style w:type="character" w:styleId="951">
    <w:name w:val="Нижний колонтитул Знак"/>
    <w:next w:val="951"/>
    <w:link w:val="920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52">
    <w:name w:val="Текст сноски Знак1"/>
    <w:next w:val="952"/>
    <w:link w:val="920"/>
    <w:pPr>
      <w:pBdr/>
      <w:spacing/>
      <w:ind/>
    </w:pPr>
    <w:rPr>
      <w:rFonts w:cs="Times New Roman"/>
      <w:lang w:val="en-US"/>
    </w:rPr>
  </w:style>
  <w:style w:type="character" w:styleId="953">
    <w:name w:val="Текст сноски Знак"/>
    <w:next w:val="953"/>
    <w:link w:val="920"/>
    <w:pPr>
      <w:pBdr/>
      <w:spacing/>
      <w:ind/>
    </w:pPr>
    <w:rPr>
      <w:rFonts w:cs="Times New Roman"/>
      <w:lang w:val="en-US"/>
    </w:rPr>
  </w:style>
  <w:style w:type="character" w:styleId="954">
    <w:name w:val="Знак сноски"/>
    <w:next w:val="954"/>
    <w:link w:val="920"/>
    <w:pPr>
      <w:pBdr/>
      <w:spacing/>
      <w:ind/>
    </w:pPr>
    <w:rPr>
      <w:vertAlign w:val="superscript"/>
    </w:rPr>
  </w:style>
  <w:style w:type="character" w:styleId="955">
    <w:name w:val="Знак концевой сноски"/>
    <w:next w:val="955"/>
    <w:link w:val="920"/>
    <w:pPr>
      <w:pBdr/>
      <w:spacing/>
      <w:ind/>
    </w:pPr>
    <w:rPr>
      <w:vertAlign w:val="superscript"/>
    </w:rPr>
  </w:style>
  <w:style w:type="character" w:styleId="956">
    <w:name w:val="Endnote Characters"/>
    <w:next w:val="956"/>
    <w:link w:val="920"/>
    <w:pPr>
      <w:pBdr/>
      <w:spacing/>
      <w:ind/>
    </w:pPr>
  </w:style>
  <w:style w:type="paragraph" w:styleId="957">
    <w:name w:val="Heading"/>
    <w:basedOn w:val="920"/>
    <w:next w:val="958"/>
    <w:link w:val="920"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paragraph" w:styleId="958">
    <w:name w:val="Основной текст"/>
    <w:basedOn w:val="920"/>
    <w:next w:val="958"/>
    <w:link w:val="920"/>
    <w:pPr>
      <w:pBdr/>
      <w:spacing w:after="140" w:before="0" w:line="276" w:lineRule="auto"/>
      <w:ind/>
    </w:pPr>
  </w:style>
  <w:style w:type="paragraph" w:styleId="959">
    <w:name w:val="Список"/>
    <w:basedOn w:val="958"/>
    <w:next w:val="959"/>
    <w:link w:val="920"/>
    <w:pPr>
      <w:pBdr/>
      <w:spacing/>
      <w:ind/>
    </w:pPr>
    <w:rPr>
      <w:rFonts w:cs="Lohit Devanagari"/>
    </w:rPr>
  </w:style>
  <w:style w:type="paragraph" w:styleId="960">
    <w:name w:val="Название объекта"/>
    <w:basedOn w:val="920"/>
    <w:next w:val="960"/>
    <w:link w:val="920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961">
    <w:name w:val="Index"/>
    <w:basedOn w:val="920"/>
    <w:next w:val="961"/>
    <w:link w:val="920"/>
    <w:pPr>
      <w:suppressLineNumbers w:val="true"/>
      <w:pBdr/>
      <w:spacing/>
      <w:ind/>
    </w:pPr>
    <w:rPr>
      <w:rFonts w:cs="Lohit Devanagari"/>
      <w:lang w:val="en-US" w:eastAsia="en-US" w:bidi="en-US"/>
    </w:rPr>
  </w:style>
  <w:style w:type="paragraph" w:styleId="962">
    <w:name w:val="Обычный (веб)"/>
    <w:basedOn w:val="920"/>
    <w:next w:val="962"/>
    <w:link w:val="920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paragraph" w:styleId="963">
    <w:name w:val="List Paragraph"/>
    <w:basedOn w:val="920"/>
    <w:next w:val="963"/>
    <w:link w:val="920"/>
    <w:pPr>
      <w:pBdr/>
      <w:spacing/>
      <w:ind w:right="0" w:firstLine="0" w:left="720"/>
    </w:pPr>
  </w:style>
  <w:style w:type="paragraph" w:styleId="964">
    <w:name w:val="Текст выноски"/>
    <w:basedOn w:val="920"/>
    <w:next w:val="964"/>
    <w:link w:val="920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paragraph" w:styleId="965">
    <w:name w:val="Header and Footer"/>
    <w:basedOn w:val="920"/>
    <w:next w:val="965"/>
    <w:link w:val="920"/>
    <w:pPr>
      <w:suppressLineNumbers w:val="true"/>
      <w:pBdr/>
      <w:tabs>
        <w:tab w:val="center" w:leader="none" w:pos="4819"/>
        <w:tab w:val="right" w:leader="none" w:pos="9638"/>
      </w:tabs>
      <w:spacing/>
      <w:ind/>
    </w:pPr>
  </w:style>
  <w:style w:type="paragraph" w:styleId="966">
    <w:name w:val="Нижний колонтитул"/>
    <w:basedOn w:val="920"/>
    <w:next w:val="966"/>
    <w:link w:val="920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67">
    <w:name w:val="Верхний колонтитул"/>
    <w:basedOn w:val="920"/>
    <w:next w:val="967"/>
    <w:link w:val="920"/>
    <w:uiPriority w:val="99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968">
    <w:name w:val="Текст сноски"/>
    <w:basedOn w:val="920"/>
    <w:next w:val="968"/>
    <w:link w:val="920"/>
    <w:pPr>
      <w:pBdr/>
      <w:spacing/>
      <w:ind/>
    </w:pPr>
    <w:rPr>
      <w:sz w:val="20"/>
      <w:szCs w:val="20"/>
      <w:lang w:val="en-US"/>
    </w:rPr>
  </w:style>
  <w:style w:type="paragraph" w:styleId="969">
    <w:name w:val="Table Contents"/>
    <w:basedOn w:val="920"/>
    <w:next w:val="969"/>
    <w:link w:val="920"/>
    <w:pPr>
      <w:widowControl w:val="false"/>
      <w:suppressLineNumbers w:val="true"/>
      <w:pBdr/>
      <w:spacing/>
      <w:ind/>
    </w:pPr>
  </w:style>
  <w:style w:type="paragraph" w:styleId="970">
    <w:name w:val="Table Heading"/>
    <w:basedOn w:val="969"/>
    <w:next w:val="970"/>
    <w:link w:val="920"/>
    <w:pPr>
      <w:suppressLineNumbers w:val="true"/>
      <w:pBdr/>
      <w:spacing/>
      <w:ind/>
      <w:jc w:val="center"/>
    </w:pPr>
    <w:rPr>
      <w:b/>
      <w:bCs/>
    </w:rPr>
  </w:style>
  <w:style w:type="paragraph" w:styleId="971">
    <w:name w:val="Основной текст с отступом"/>
    <w:basedOn w:val="920"/>
    <w:next w:val="971"/>
    <w:link w:val="972"/>
    <w:uiPriority w:val="99"/>
    <w:unhideWhenUsed/>
    <w:pPr>
      <w:pBdr/>
      <w:spacing w:after="120"/>
      <w:ind w:left="283"/>
    </w:pPr>
  </w:style>
  <w:style w:type="character" w:styleId="972">
    <w:name w:val="Основной текст с отступом Знак"/>
    <w:next w:val="972"/>
    <w:link w:val="971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table" w:styleId="973">
    <w:name w:val="Сетка таблицы"/>
    <w:basedOn w:val="928"/>
    <w:next w:val="973"/>
    <w:link w:val="920"/>
    <w:uiPriority w:val="3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74">
    <w:name w:val="Heading 5"/>
    <w:basedOn w:val="920"/>
    <w:next w:val="974"/>
    <w:link w:val="920"/>
    <w:uiPriority w:val="1"/>
    <w:qFormat/>
    <w:pPr>
      <w:widowControl w:val="false"/>
      <w:pBdr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styleId="975">
    <w:name w:val="Абзац списка"/>
    <w:basedOn w:val="920"/>
    <w:next w:val="975"/>
    <w:link w:val="920"/>
    <w:uiPriority w:val="34"/>
    <w:qFormat/>
    <w:pPr>
      <w:pBdr/>
      <w:spacing/>
      <w:ind w:left="720"/>
      <w:contextualSpacing w:val="true"/>
    </w:pPr>
    <w:rPr>
      <w:rFonts w:eastAsia="Times New Roman"/>
      <w:lang w:val="uk-UA" w:eastAsia="ar-SA"/>
    </w:rPr>
  </w:style>
  <w:style w:type="character" w:styleId="976">
    <w:name w:val="Неразрешенное упоминание"/>
    <w:next w:val="976"/>
    <w:link w:val="920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yperlink" Target="https://sites.znu.edu.ua/navchalnyj_viddil/3647.ukr.htm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revision>50</cp:revision>
  <dcterms:created xsi:type="dcterms:W3CDTF">2024-08-02T07:13:00Z</dcterms:created>
  <dcterms:modified xsi:type="dcterms:W3CDTF">2024-09-06T04:07:36Z</dcterms:modified>
  <cp:version>1048576</cp:version>
</cp:coreProperties>
</file>