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58" w:rsidRPr="00043C1A" w:rsidRDefault="00456158" w:rsidP="00456158">
      <w:pPr>
        <w:shd w:val="clear" w:color="auto" w:fill="FFFFFF"/>
        <w:ind w:firstLine="540"/>
        <w:jc w:val="center"/>
        <w:rPr>
          <w:b/>
          <w:i/>
          <w:iCs/>
          <w:color w:val="000000"/>
          <w:spacing w:val="-1"/>
          <w:sz w:val="24"/>
          <w:u w:val="single"/>
          <w:lang w:val="uk-UA"/>
        </w:rPr>
      </w:pPr>
      <w:r w:rsidRPr="00723583">
        <w:rPr>
          <w:b/>
          <w:i/>
          <w:iCs/>
          <w:color w:val="C00000"/>
          <w:spacing w:val="-1"/>
          <w:szCs w:val="28"/>
          <w:u w:val="single"/>
          <w:lang w:val="uk-UA"/>
        </w:rPr>
        <w:t xml:space="preserve">План практичного </w:t>
      </w:r>
      <w:r w:rsidRPr="003C68CC">
        <w:rPr>
          <w:b/>
          <w:i/>
          <w:iCs/>
          <w:color w:val="C00000"/>
          <w:spacing w:val="-1"/>
          <w:szCs w:val="28"/>
          <w:u w:val="single"/>
          <w:lang w:val="uk-UA"/>
        </w:rPr>
        <w:t xml:space="preserve">заняття </w:t>
      </w:r>
      <w:r w:rsidRPr="003C68CC">
        <w:rPr>
          <w:b/>
          <w:i/>
          <w:iCs/>
          <w:color w:val="C00000"/>
          <w:spacing w:val="-1"/>
          <w:sz w:val="24"/>
          <w:u w:val="single"/>
          <w:lang w:val="uk-UA"/>
        </w:rPr>
        <w:t>№2</w:t>
      </w:r>
    </w:p>
    <w:p w:rsidR="00456158" w:rsidRDefault="00456158" w:rsidP="00456158">
      <w:pPr>
        <w:shd w:val="clear" w:color="auto" w:fill="FFFFFF"/>
        <w:ind w:firstLine="540"/>
        <w:jc w:val="both"/>
        <w:rPr>
          <w:i/>
          <w:iCs/>
          <w:color w:val="000000"/>
          <w:spacing w:val="-1"/>
          <w:sz w:val="24"/>
          <w:lang w:val="uk-UA"/>
        </w:rPr>
      </w:pPr>
    </w:p>
    <w:p w:rsidR="00456158" w:rsidRDefault="00456158" w:rsidP="00456158">
      <w:pPr>
        <w:shd w:val="clear" w:color="auto" w:fill="FFFFFF"/>
        <w:ind w:firstLine="540"/>
        <w:jc w:val="center"/>
        <w:rPr>
          <w:i/>
          <w:iCs/>
          <w:color w:val="0070C0"/>
          <w:spacing w:val="-1"/>
          <w:sz w:val="36"/>
          <w:szCs w:val="36"/>
          <w:lang w:val="uk-UA"/>
        </w:rPr>
      </w:pPr>
      <w:r w:rsidRPr="000E4825">
        <w:rPr>
          <w:i/>
          <w:iCs/>
          <w:color w:val="0070C0"/>
          <w:spacing w:val="-1"/>
          <w:sz w:val="36"/>
          <w:szCs w:val="36"/>
          <w:lang w:val="uk-UA"/>
        </w:rPr>
        <w:t>Тема 2. Інституції громадянського суспільства та організація ними зв</w:t>
      </w:r>
      <w:r w:rsidRPr="000E4825">
        <w:rPr>
          <w:i/>
          <w:iCs/>
          <w:color w:val="0070C0"/>
          <w:spacing w:val="-1"/>
          <w:sz w:val="36"/>
          <w:szCs w:val="36"/>
        </w:rPr>
        <w:t>’</w:t>
      </w:r>
      <w:r w:rsidRPr="000E4825">
        <w:rPr>
          <w:i/>
          <w:iCs/>
          <w:color w:val="0070C0"/>
          <w:spacing w:val="-1"/>
          <w:sz w:val="36"/>
          <w:szCs w:val="36"/>
          <w:lang w:val="uk-UA"/>
        </w:rPr>
        <w:t>язків з громадськістю</w:t>
      </w:r>
    </w:p>
    <w:p w:rsidR="00456158" w:rsidRPr="000E4825" w:rsidRDefault="00456158" w:rsidP="00456158">
      <w:pPr>
        <w:shd w:val="clear" w:color="auto" w:fill="FFFFFF"/>
        <w:ind w:firstLine="540"/>
        <w:jc w:val="center"/>
        <w:rPr>
          <w:i/>
          <w:iCs/>
          <w:color w:val="0070C0"/>
          <w:sz w:val="36"/>
          <w:szCs w:val="36"/>
          <w:lang w:val="uk-UA"/>
        </w:rPr>
      </w:pPr>
    </w:p>
    <w:p w:rsidR="00456158" w:rsidRDefault="00456158" w:rsidP="00456158">
      <w:pPr>
        <w:shd w:val="clear" w:color="auto" w:fill="FFFFFF"/>
        <w:ind w:firstLine="540"/>
        <w:jc w:val="center"/>
        <w:rPr>
          <w:b/>
          <w:i/>
          <w:iCs/>
          <w:szCs w:val="28"/>
          <w:u w:val="single"/>
          <w:lang w:val="uk-UA"/>
        </w:rPr>
      </w:pPr>
      <w:r w:rsidRPr="000E4825">
        <w:rPr>
          <w:b/>
          <w:i/>
          <w:iCs/>
          <w:szCs w:val="28"/>
          <w:u w:val="single"/>
          <w:lang w:val="uk-UA"/>
        </w:rPr>
        <w:t>Питання для обговорення</w:t>
      </w:r>
    </w:p>
    <w:p w:rsidR="00456158" w:rsidRPr="000E4825" w:rsidRDefault="00456158" w:rsidP="00456158">
      <w:pPr>
        <w:shd w:val="clear" w:color="auto" w:fill="FFFFFF"/>
        <w:ind w:firstLine="540"/>
        <w:jc w:val="center"/>
        <w:rPr>
          <w:b/>
          <w:i/>
          <w:iCs/>
          <w:szCs w:val="28"/>
          <w:u w:val="single"/>
          <w:lang w:val="uk-UA"/>
        </w:rPr>
      </w:pPr>
    </w:p>
    <w:p w:rsidR="00456158" w:rsidRPr="00D355E6" w:rsidRDefault="00456158" w:rsidP="00456158">
      <w:pPr>
        <w:pStyle w:val="a3"/>
        <w:numPr>
          <w:ilvl w:val="0"/>
          <w:numId w:val="1"/>
        </w:numPr>
        <w:jc w:val="both"/>
      </w:pPr>
      <w:r w:rsidRPr="00D355E6">
        <w:t>Інституції громадянського суспільства</w:t>
      </w:r>
      <w:r w:rsidRPr="00D355E6">
        <w:rPr>
          <w:lang w:val="uk-UA"/>
        </w:rPr>
        <w:t>.</w:t>
      </w:r>
    </w:p>
    <w:p w:rsidR="00456158" w:rsidRPr="00D355E6" w:rsidRDefault="00456158" w:rsidP="00456158">
      <w:pPr>
        <w:pStyle w:val="a3"/>
        <w:numPr>
          <w:ilvl w:val="0"/>
          <w:numId w:val="1"/>
        </w:numPr>
        <w:jc w:val="both"/>
      </w:pPr>
      <w:r w:rsidRPr="00D355E6">
        <w:t>Умови життєздатності</w:t>
      </w:r>
      <w:r w:rsidRPr="00D355E6">
        <w:rPr>
          <w:lang w:val="uk-UA"/>
        </w:rPr>
        <w:t>, рівні сформованості та принципи</w:t>
      </w:r>
      <w:r w:rsidRPr="00D355E6">
        <w:t xml:space="preserve"> громадянського суспільства</w:t>
      </w:r>
      <w:r w:rsidRPr="00D355E6">
        <w:rPr>
          <w:lang w:val="uk-UA"/>
        </w:rPr>
        <w:t>.</w:t>
      </w:r>
    </w:p>
    <w:p w:rsidR="00456158" w:rsidRPr="004D2F43" w:rsidRDefault="00456158" w:rsidP="00456158">
      <w:pPr>
        <w:pStyle w:val="a3"/>
        <w:numPr>
          <w:ilvl w:val="0"/>
          <w:numId w:val="1"/>
        </w:numPr>
        <w:jc w:val="both"/>
      </w:pPr>
      <w:r w:rsidRPr="00D355E6">
        <w:t>Функції громадянського суспільства</w:t>
      </w:r>
      <w:r>
        <w:rPr>
          <w:lang w:val="uk-UA"/>
        </w:rPr>
        <w:t>. Реалізація комунікативної функції.</w:t>
      </w:r>
    </w:p>
    <w:p w:rsidR="00456158" w:rsidRPr="00D355E6" w:rsidRDefault="00456158" w:rsidP="00456158">
      <w:pPr>
        <w:pStyle w:val="a3"/>
        <w:numPr>
          <w:ilvl w:val="0"/>
          <w:numId w:val="1"/>
        </w:numPr>
      </w:pPr>
      <w:r>
        <w:rPr>
          <w:lang w:val="uk-UA"/>
        </w:rPr>
        <w:t>Структура громадянського суспільства. Місце зв</w:t>
      </w:r>
      <w:r w:rsidRPr="004D2F43">
        <w:t>’</w:t>
      </w:r>
      <w:r>
        <w:rPr>
          <w:lang w:val="uk-UA"/>
        </w:rPr>
        <w:t xml:space="preserve">язків громадськістю в його структурі.  </w:t>
      </w:r>
    </w:p>
    <w:p w:rsidR="00456158" w:rsidRPr="000E4825" w:rsidRDefault="00456158" w:rsidP="00456158">
      <w:pPr>
        <w:pStyle w:val="a3"/>
        <w:numPr>
          <w:ilvl w:val="0"/>
          <w:numId w:val="1"/>
        </w:numPr>
      </w:pPr>
      <w:r>
        <w:rPr>
          <w:lang w:val="uk-UA"/>
        </w:rPr>
        <w:t xml:space="preserve"> Громадянське суспільство в Україні.</w:t>
      </w:r>
    </w:p>
    <w:p w:rsidR="00456158" w:rsidRDefault="00456158" w:rsidP="00456158">
      <w:pPr>
        <w:shd w:val="clear" w:color="auto" w:fill="FFFFFF"/>
        <w:ind w:firstLine="540"/>
        <w:jc w:val="both"/>
        <w:rPr>
          <w:i/>
          <w:iCs/>
          <w:color w:val="000000"/>
          <w:spacing w:val="-1"/>
          <w:sz w:val="24"/>
          <w:lang w:val="uk-UA"/>
        </w:rPr>
      </w:pPr>
    </w:p>
    <w:p w:rsidR="00456158" w:rsidRPr="00723583" w:rsidRDefault="00456158" w:rsidP="00456158">
      <w:pPr>
        <w:shd w:val="clear" w:color="auto" w:fill="FFFFFF"/>
        <w:jc w:val="center"/>
        <w:rPr>
          <w:b/>
          <w:i/>
          <w:szCs w:val="28"/>
          <w:u w:val="single"/>
        </w:rPr>
      </w:pPr>
      <w:r w:rsidRPr="00723583">
        <w:rPr>
          <w:b/>
          <w:i/>
          <w:szCs w:val="28"/>
          <w:u w:val="single"/>
        </w:rPr>
        <w:t>Питання для самоконтролю</w:t>
      </w:r>
    </w:p>
    <w:p w:rsidR="00456158" w:rsidRPr="00723583" w:rsidRDefault="00456158" w:rsidP="00456158">
      <w:pPr>
        <w:shd w:val="clear" w:color="auto" w:fill="FFFFFF"/>
        <w:jc w:val="both"/>
        <w:rPr>
          <w:szCs w:val="28"/>
          <w:lang w:val="uk-UA"/>
        </w:rPr>
      </w:pPr>
    </w:p>
    <w:p w:rsidR="00456158" w:rsidRDefault="00456158" w:rsidP="00456158">
      <w:pPr>
        <w:pStyle w:val="a3"/>
        <w:numPr>
          <w:ilvl w:val="0"/>
          <w:numId w:val="2"/>
        </w:numPr>
        <w:jc w:val="both"/>
      </w:pPr>
      <w:r>
        <w:t>Які і</w:t>
      </w:r>
      <w:r w:rsidRPr="00D355E6">
        <w:t xml:space="preserve">нституції </w:t>
      </w:r>
      <w:r w:rsidRPr="000E4825">
        <w:rPr>
          <w:lang w:val="uk-UA"/>
        </w:rPr>
        <w:t xml:space="preserve">представляють </w:t>
      </w:r>
      <w:r w:rsidRPr="00D355E6">
        <w:t>громадянськ</w:t>
      </w:r>
      <w:r w:rsidRPr="000E4825">
        <w:rPr>
          <w:lang w:val="uk-UA"/>
        </w:rPr>
        <w:t>е</w:t>
      </w:r>
      <w:r>
        <w:t xml:space="preserve"> суспільство? </w:t>
      </w:r>
    </w:p>
    <w:p w:rsidR="00456158" w:rsidRDefault="00456158" w:rsidP="00456158">
      <w:pPr>
        <w:pStyle w:val="a3"/>
        <w:numPr>
          <w:ilvl w:val="0"/>
          <w:numId w:val="2"/>
        </w:numPr>
        <w:jc w:val="both"/>
      </w:pPr>
      <w:r>
        <w:t>В чому суть</w:t>
      </w:r>
      <w:r w:rsidRPr="000E4825">
        <w:rPr>
          <w:lang w:val="uk-UA"/>
        </w:rPr>
        <w:t xml:space="preserve"> принципів </w:t>
      </w:r>
      <w:r>
        <w:t xml:space="preserve"> </w:t>
      </w:r>
      <w:r w:rsidRPr="000E4825">
        <w:rPr>
          <w:lang w:val="uk-UA"/>
        </w:rPr>
        <w:t xml:space="preserve">громадянського </w:t>
      </w:r>
      <w:r>
        <w:t xml:space="preserve">суспільства? </w:t>
      </w:r>
    </w:p>
    <w:p w:rsidR="00456158" w:rsidRDefault="00456158" w:rsidP="00456158">
      <w:pPr>
        <w:pStyle w:val="a3"/>
        <w:numPr>
          <w:ilvl w:val="0"/>
          <w:numId w:val="2"/>
        </w:numPr>
        <w:jc w:val="both"/>
      </w:pPr>
      <w:r>
        <w:t>Які головні у</w:t>
      </w:r>
      <w:r w:rsidRPr="00D355E6">
        <w:t>мови життєздатності</w:t>
      </w:r>
      <w:r>
        <w:t xml:space="preserve"> </w:t>
      </w:r>
      <w:r w:rsidRPr="000E4825">
        <w:rPr>
          <w:lang w:val="uk-UA"/>
        </w:rPr>
        <w:t xml:space="preserve">громадянського </w:t>
      </w:r>
      <w:r>
        <w:t xml:space="preserve">суспільства? </w:t>
      </w:r>
    </w:p>
    <w:p w:rsidR="00456158" w:rsidRPr="00140D71" w:rsidRDefault="00456158" w:rsidP="00456158">
      <w:pPr>
        <w:pStyle w:val="a3"/>
        <w:numPr>
          <w:ilvl w:val="0"/>
          <w:numId w:val="2"/>
        </w:numPr>
        <w:jc w:val="both"/>
      </w:pPr>
      <w:r w:rsidRPr="00140D71">
        <w:rPr>
          <w:lang w:val="uk-UA"/>
        </w:rPr>
        <w:t>Які існують р</w:t>
      </w:r>
      <w:r w:rsidRPr="00140D71">
        <w:t>івні сформованості громадянського суспільства</w:t>
      </w:r>
      <w:r w:rsidRPr="00140D71">
        <w:rPr>
          <w:lang w:val="uk-UA"/>
        </w:rPr>
        <w:t>?</w:t>
      </w:r>
    </w:p>
    <w:p w:rsidR="00456158" w:rsidRPr="00140D71" w:rsidRDefault="00456158" w:rsidP="00456158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0A6804">
        <w:rPr>
          <w:szCs w:val="28"/>
        </w:rPr>
        <w:t>Суспільні зв’язки, набираючи односпрямований характер, були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зведені до виконання однієї єдиної функції</w:t>
      </w:r>
      <w:r>
        <w:rPr>
          <w:szCs w:val="28"/>
          <w:lang w:val="uk-UA"/>
        </w:rPr>
        <w:t>. Якої?</w:t>
      </w:r>
    </w:p>
    <w:p w:rsidR="00456158" w:rsidRPr="00140D71" w:rsidRDefault="00456158" w:rsidP="00456158">
      <w:pPr>
        <w:pStyle w:val="a3"/>
        <w:numPr>
          <w:ilvl w:val="0"/>
          <w:numId w:val="2"/>
        </w:numPr>
        <w:jc w:val="both"/>
      </w:pPr>
      <w:r w:rsidRPr="00140D71">
        <w:rPr>
          <w:szCs w:val="28"/>
          <w:lang w:val="uk-UA"/>
        </w:rPr>
        <w:t xml:space="preserve"> Які виділяють функції у сфері взаємодії держави й громадянського суспільства?</w:t>
      </w:r>
    </w:p>
    <w:p w:rsidR="00456158" w:rsidRDefault="00456158" w:rsidP="00456158">
      <w:pPr>
        <w:pStyle w:val="a3"/>
        <w:ind w:left="900"/>
        <w:jc w:val="both"/>
      </w:pPr>
    </w:p>
    <w:p w:rsidR="00456158" w:rsidRDefault="00456158" w:rsidP="00456158">
      <w:pPr>
        <w:pStyle w:val="a3"/>
        <w:ind w:left="900"/>
        <w:jc w:val="both"/>
      </w:pPr>
    </w:p>
    <w:p w:rsidR="00456158" w:rsidRDefault="00456158" w:rsidP="00456158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456158" w:rsidRPr="00414E47" w:rsidRDefault="00456158" w:rsidP="00456158">
      <w:pPr>
        <w:pStyle w:val="a3"/>
        <w:numPr>
          <w:ilvl w:val="0"/>
          <w:numId w:val="3"/>
        </w:numPr>
        <w:jc w:val="both"/>
        <w:rPr>
          <w:i/>
        </w:rPr>
      </w:pPr>
      <w:r w:rsidRPr="00414E47">
        <w:rPr>
          <w:i/>
        </w:rPr>
        <w:t xml:space="preserve">Визначьте основні </w:t>
      </w:r>
      <w:r w:rsidRPr="00414E47">
        <w:rPr>
          <w:i/>
          <w:lang w:val="uk-UA"/>
        </w:rPr>
        <w:t xml:space="preserve">функції громадянського </w:t>
      </w:r>
      <w:r w:rsidRPr="00414E47">
        <w:rPr>
          <w:i/>
        </w:rPr>
        <w:t xml:space="preserve">суспільства. </w:t>
      </w:r>
    </w:p>
    <w:p w:rsidR="00456158" w:rsidRPr="00414E47" w:rsidRDefault="00456158" w:rsidP="00456158">
      <w:pPr>
        <w:pStyle w:val="a3"/>
        <w:numPr>
          <w:ilvl w:val="0"/>
          <w:numId w:val="3"/>
        </w:numPr>
        <w:jc w:val="both"/>
        <w:rPr>
          <w:i/>
          <w:lang w:val="uk-UA"/>
        </w:rPr>
      </w:pPr>
      <w:r w:rsidRPr="00414E47">
        <w:rPr>
          <w:i/>
          <w:lang w:val="uk-UA"/>
        </w:rPr>
        <w:t>Охарактеризуйте  с</w:t>
      </w:r>
      <w:r w:rsidRPr="00414E47">
        <w:rPr>
          <w:i/>
        </w:rPr>
        <w:t xml:space="preserve">учасний стан та тенденції </w:t>
      </w:r>
      <w:r w:rsidRPr="00414E47">
        <w:rPr>
          <w:i/>
          <w:lang w:val="uk-UA"/>
        </w:rPr>
        <w:t xml:space="preserve">становлення </w:t>
      </w:r>
      <w:r w:rsidRPr="00414E47">
        <w:rPr>
          <w:i/>
        </w:rPr>
        <w:t>громадянського суспільства в Україні</w:t>
      </w:r>
      <w:r w:rsidRPr="00414E47">
        <w:rPr>
          <w:i/>
          <w:lang w:val="uk-UA"/>
        </w:rPr>
        <w:t>.</w:t>
      </w:r>
    </w:p>
    <w:p w:rsidR="00456158" w:rsidRPr="000E4825" w:rsidRDefault="00456158" w:rsidP="00456158">
      <w:pPr>
        <w:jc w:val="center"/>
        <w:rPr>
          <w:b/>
          <w:i/>
          <w:szCs w:val="28"/>
          <w:u w:val="single"/>
          <w:lang w:val="uk-UA"/>
        </w:rPr>
      </w:pPr>
    </w:p>
    <w:p w:rsidR="00456158" w:rsidRPr="00414E47" w:rsidRDefault="00456158" w:rsidP="00456158">
      <w:pPr>
        <w:pStyle w:val="a3"/>
        <w:ind w:left="900"/>
        <w:jc w:val="center"/>
        <w:rPr>
          <w:b/>
          <w:i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414E47">
        <w:rPr>
          <w:b/>
          <w:i/>
          <w:u w:val="single"/>
          <w:lang w:val="uk-UA"/>
        </w:rPr>
        <w:t>Література</w:t>
      </w:r>
    </w:p>
    <w:p w:rsidR="00456158" w:rsidRPr="00392EF8" w:rsidRDefault="00456158" w:rsidP="00456158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45615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lastRenderedPageBreak/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456158" w:rsidRPr="00392EF8" w:rsidRDefault="00456158" w:rsidP="004561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456158" w:rsidRDefault="00456158" w:rsidP="00456158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456158" w:rsidRPr="00453144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456158" w:rsidRDefault="00456158" w:rsidP="00456158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456158" w:rsidRPr="00392EF8" w:rsidRDefault="00456158" w:rsidP="0045615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456158" w:rsidRPr="00392EF8" w:rsidRDefault="00456158" w:rsidP="0045615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456158" w:rsidRPr="00AF6869" w:rsidRDefault="00456158" w:rsidP="00456158">
      <w:pPr>
        <w:rPr>
          <w:lang w:val="uk-UA"/>
        </w:rPr>
      </w:pPr>
    </w:p>
    <w:p w:rsidR="00D528CB" w:rsidRPr="00456158" w:rsidRDefault="00D528CB">
      <w:pPr>
        <w:rPr>
          <w:lang w:val="uk-UA"/>
        </w:rPr>
      </w:pPr>
      <w:bookmarkStart w:id="0" w:name="_GoBack"/>
      <w:bookmarkEnd w:id="0"/>
    </w:p>
    <w:sectPr w:rsidR="00D528CB" w:rsidRPr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539"/>
    <w:multiLevelType w:val="hybridMultilevel"/>
    <w:tmpl w:val="97BEC0A6"/>
    <w:lvl w:ilvl="0" w:tplc="534622B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159A"/>
    <w:multiLevelType w:val="hybridMultilevel"/>
    <w:tmpl w:val="6D9219B2"/>
    <w:lvl w:ilvl="0" w:tplc="51FC8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F26DD3"/>
    <w:multiLevelType w:val="hybridMultilevel"/>
    <w:tmpl w:val="11B22F0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4"/>
    <w:rsid w:val="00110664"/>
    <w:rsid w:val="00456158"/>
    <w:rsid w:val="00D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D77C-C50E-4780-8E8A-F7991FC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2018-02-06T12:10:00Z</dcterms:created>
  <dcterms:modified xsi:type="dcterms:W3CDTF">2018-02-06T12:10:00Z</dcterms:modified>
</cp:coreProperties>
</file>