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55" w:rsidRPr="00142516" w:rsidRDefault="006C4655" w:rsidP="001425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Модуль 3, блок 3, практичне заняття №16 (доц. Сарабєєв В.Л.)</w:t>
      </w:r>
    </w:p>
    <w:p w:rsidR="006C4655" w:rsidRPr="00142516" w:rsidRDefault="006C4655" w:rsidP="001425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Як взяти участь у програмі Горизонт-2020, особливості підготовки наукового проекту</w:t>
      </w:r>
    </w:p>
    <w:p w:rsidR="00447673" w:rsidRPr="00142516" w:rsidRDefault="00447673" w:rsidP="00142516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655" w:rsidRPr="00142516" w:rsidRDefault="006C4655" w:rsidP="001425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ТЕОРЕТИЧНИЙ МАТЕРІАЛ</w:t>
      </w:r>
    </w:p>
    <w:p w:rsidR="00111854" w:rsidRPr="00142516" w:rsidRDefault="00111854" w:rsidP="001425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1854" w:rsidRPr="00142516" w:rsidRDefault="00717FAF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Як підготувати успішний проект для участі в конкурсі</w:t>
      </w:r>
      <w:r w:rsidR="00297F79"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Марії </w:t>
      </w:r>
      <w:proofErr w:type="spellStart"/>
      <w:r w:rsidR="00297F79"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Склодовської</w:t>
      </w:r>
      <w:proofErr w:type="spellEnd"/>
      <w:r w:rsidR="00297F79"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Кюрі (MSCA)</w:t>
      </w:r>
      <w:r w:rsidR="00906575"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деякі практичні рекомендації.</w:t>
      </w:r>
    </w:p>
    <w:p w:rsidR="00111854" w:rsidRPr="00142516" w:rsidRDefault="00111854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Пропозиція складається з двох основних частин: адміністративних форм (частина A) та фактичної дослідницької пропозиції (частина B).</w:t>
      </w:r>
    </w:p>
    <w:p w:rsidR="00111854" w:rsidRPr="00142516" w:rsidRDefault="00111854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Частина A</w:t>
      </w:r>
    </w:p>
    <w:p w:rsidR="00111854" w:rsidRPr="00142516" w:rsidRDefault="00111854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Частина </w:t>
      </w:r>
      <w:r w:rsidRPr="004D150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А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складається з п'яти розділів:</w:t>
      </w:r>
    </w:p>
    <w:p w:rsidR="00111854" w:rsidRPr="00142516" w:rsidRDefault="00111854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Загальні відомості: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тут ви пишете назву вашої пропозиції та абревіатуру проекту. Ви також </w:t>
      </w:r>
      <w:r w:rsidR="004D1500">
        <w:rPr>
          <w:rFonts w:ascii="Times New Roman" w:eastAsia="Times New Roman" w:hAnsi="Times New Roman" w:cs="Times New Roman"/>
          <w:sz w:val="24"/>
          <w:szCs w:val="24"/>
          <w:lang w:val="uk-UA"/>
        </w:rPr>
        <w:t>маєте можливість вибрати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якою конкурсною панеллю ваша пропозиція повинна бути оцінена. Ви надаєте ключові слова, а також анотацію з 2000 символів. </w:t>
      </w:r>
    </w:p>
    <w:p w:rsidR="00297F79" w:rsidRPr="00142516" w:rsidRDefault="00111854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Адміністративні дані організацій-учасників: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Тут ви зв'язуєте свою аплікаційну заявку зі своєю з приймаючою організацією, а також вказуєте підрозділ та контактну інформацію вашого керівника. Ви також надаєте інформацію про себе, у тому числі використовуючи ідентифікатор дослідника (</w:t>
      </w:r>
      <w:proofErr w:type="spellStart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ResearcherID</w:t>
      </w:r>
      <w:proofErr w:type="spellEnd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ORCID), якщо 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такі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вас є. Оскільки MSCA є програмою мобільності, 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ви маєте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вказати свої місця проживання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останні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п'ять років, що перед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ують терміну закриття конкурсу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297F79" w:rsidRPr="00142516" w:rsidRDefault="00111854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Бюджет: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таблиця бюджетів для MSCA є однією з найпростіших для заповнення в рамках всієї програми 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Горизонт-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2020. Зазначивши тривалість вашого проекту, 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сума гранту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дослідника та установи буде автоматично розрахована. </w:t>
      </w:r>
    </w:p>
    <w:p w:rsidR="00297F79" w:rsidRPr="00142516" w:rsidRDefault="00111854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Етика: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підхід до етики у програмі 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Горизонт-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2020 є суворим і чітко визначеним. На етапі подання пропозиції про оцінку етики є самовизначення. Кандидати заповнюють "Таблицю 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питання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етики" (у частині А). Якщо висвітлюються питання етики, заявникам доведеться завершити більш глибоку самооцінку етики 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частин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 B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 Пропозиції, обрані для фінансування, також п</w:t>
      </w:r>
      <w:r w:rsidR="00297F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ройдуть процедуру перегляду етичних питань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111854" w:rsidRPr="00142516" w:rsidRDefault="00297F79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Специфічні </w:t>
      </w:r>
      <w:r w:rsidR="00111854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запитання</w:t>
      </w: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за конкурсом</w:t>
      </w:r>
      <w:r w:rsidR="00111854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:</w:t>
      </w:r>
      <w:r w:rsidR="0011185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Різні адміністративні питання щодо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конкурсу</w:t>
      </w:r>
      <w:r w:rsidR="0011185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47057" w:rsidRPr="00142516" w:rsidRDefault="00547057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Частина B</w:t>
      </w:r>
    </w:p>
    <w:p w:rsidR="00547057" w:rsidRPr="00142516" w:rsidRDefault="00547057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Частина </w:t>
      </w:r>
      <w:r w:rsidRPr="004D1500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B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є фактичною пропозицією.</w:t>
      </w:r>
    </w:p>
    <w:p w:rsidR="00297F79" w:rsidRPr="00142516" w:rsidRDefault="00547057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Кандидати повинні дотримуватися заздалегідь визначеної структури в цьому розділі. Важливо дотримуватис</w:t>
      </w:r>
      <w:r w:rsidR="004D1500">
        <w:rPr>
          <w:rFonts w:ascii="Times New Roman" w:eastAsia="Times New Roman" w:hAnsi="Times New Roman" w:cs="Times New Roman"/>
          <w:sz w:val="24"/>
          <w:szCs w:val="24"/>
          <w:lang w:val="uk-UA"/>
        </w:rPr>
        <w:t>ь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ліміту сторін</w:t>
      </w:r>
      <w:r w:rsidR="0039741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ок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: основна частина (розділи 1-3) не повинна перевищувати 10 сторінок. Ці розділи містять одну секцію для кожного критерію оцін</w:t>
      </w:r>
      <w:r w:rsidR="0039741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ки: </w:t>
      </w:r>
      <w:r w:rsidR="00397419" w:rsidRPr="004D150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досконалість, вплив, в</w:t>
      </w:r>
      <w:r w:rsidR="004D1500" w:rsidRPr="004D150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иконання</w:t>
      </w:r>
      <w:r w:rsidR="006B6C0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B6C01" w:rsidRPr="00142516" w:rsidRDefault="006B6C01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Три </w:t>
      </w:r>
      <w:r w:rsidR="00CD6A8C" w:rsidRPr="001425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загальні</w:t>
      </w:r>
      <w:r w:rsidRPr="001425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поради </w:t>
      </w:r>
      <w:r w:rsidR="00CD6A8C" w:rsidRPr="001425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для успішного</w:t>
      </w:r>
      <w:r w:rsidRPr="001425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проекту:</w:t>
      </w:r>
    </w:p>
    <w:p w:rsidR="006B6C01" w:rsidRPr="00142516" w:rsidRDefault="006B6C01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1. Надзвичайно важливо </w:t>
      </w:r>
      <w:r w:rsidR="00A373B3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досконало опрацювати всі</w:t>
      </w: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A373B3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пункти</w:t>
      </w: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критеріїв оцінки</w:t>
      </w:r>
    </w:p>
    <w:p w:rsidR="006B6C01" w:rsidRPr="00142516" w:rsidRDefault="00A373B3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Більшість рецензій проектів </w:t>
      </w:r>
      <w:r w:rsidR="006B6C0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мають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схожий</w:t>
      </w:r>
      <w:r w:rsidR="006B6C0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шабло</w:t>
      </w:r>
      <w:r w:rsidR="004D1500">
        <w:rPr>
          <w:rFonts w:ascii="Times New Roman" w:eastAsia="Times New Roman" w:hAnsi="Times New Roman" w:cs="Times New Roman"/>
          <w:sz w:val="24"/>
          <w:szCs w:val="24"/>
          <w:lang w:val="uk-UA"/>
        </w:rPr>
        <w:t>н, а ключові слова повторюються</w:t>
      </w:r>
      <w:r w:rsidR="006B6C0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Як і лікар, оцінювач виявляє слабкі сторони пропозиції та ті, що заявник навмисно або </w:t>
      </w:r>
      <w:r w:rsidR="006B6C0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ненавмисно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пропустив</w:t>
      </w:r>
      <w:r w:rsidR="006B6C0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Оцінювачі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дадуть високі бали тільки повній, добре узгодженій</w:t>
      </w:r>
      <w:r w:rsidR="006B6C0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деталізован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ій</w:t>
      </w:r>
      <w:r w:rsidR="006B6C0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пропозиції.</w:t>
      </w:r>
    </w:p>
    <w:p w:rsidR="006B6C01" w:rsidRPr="00142516" w:rsidRDefault="00A373B3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2.</w:t>
      </w:r>
      <w:r w:rsidR="006B6C01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Сильні сторони не можуть переваж</w:t>
      </w: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и</w:t>
      </w:r>
      <w:r w:rsidR="006B6C01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ти слабк</w:t>
      </w: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</w:t>
      </w:r>
      <w:r w:rsidR="006B6C01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стор</w:t>
      </w: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они</w:t>
      </w:r>
    </w:p>
    <w:p w:rsidR="006B6C01" w:rsidRPr="00142516" w:rsidRDefault="006B6C01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Кожна </w:t>
      </w:r>
      <w:r w:rsidR="00A373B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рецензія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оцінює як сильні, так і слабкі сторони. </w:t>
      </w:r>
      <w:r w:rsidR="00CD6A8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ильні сторони пропозиції </w:t>
      </w:r>
      <w:r w:rsidR="00CD6A8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можуть бути значними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D6A8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але в цілому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пропозиція </w:t>
      </w:r>
      <w:r w:rsidR="00CD6A8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може бути визнана як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недостатн</w:t>
      </w:r>
      <w:r w:rsidR="00CD6A8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ьо обґрунтована та описана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Сильні сторони </w:t>
      </w:r>
      <w:r w:rsidR="00CD6A8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пропозиції можуть не переважити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слабкі сторони.</w:t>
      </w:r>
    </w:p>
    <w:p w:rsidR="006B6C01" w:rsidRPr="00142516" w:rsidRDefault="00CD6A8C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3.</w:t>
      </w:r>
      <w:r w:rsidR="006B6C01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Досконалість все ж таки можлива</w:t>
      </w:r>
    </w:p>
    <w:p w:rsidR="006B6C01" w:rsidRPr="00142516" w:rsidRDefault="006B6C01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Можна </w:t>
      </w:r>
      <w:r w:rsidR="00CD6A8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розробити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бездоганну пропозицію. Хорош</w:t>
      </w:r>
      <w:r w:rsidR="00CD6A8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ий проект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сумлінне ставлення до всіх аспектів не уникають уваги оцінювачів.</w:t>
      </w:r>
    </w:p>
    <w:p w:rsidR="00CD6A8C" w:rsidRPr="00142516" w:rsidRDefault="00717FAF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ДОСКОНАЛІСТЬ </w:t>
      </w:r>
    </w:p>
    <w:p w:rsidR="00CD6A8C" w:rsidRPr="00142516" w:rsidRDefault="0054325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Критерії досконалості </w:t>
      </w:r>
    </w:p>
    <w:p w:rsidR="00543255" w:rsidRPr="00142516" w:rsidRDefault="0054325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Першим і найважливішим аспектом критерію досконалості є якість, </w:t>
      </w:r>
      <w:proofErr w:type="spellStart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інноваційність</w:t>
      </w:r>
      <w:proofErr w:type="spellEnd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та достовірність досліджень запланованого проекту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 Для стипендій MSCA, міжгалузев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міждисциплінар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на природа проекту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невід'ємною частиною "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досконалості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" і повинні бути розглянуті в цьому розділі.</w:t>
      </w:r>
    </w:p>
    <w:p w:rsidR="00543255" w:rsidRPr="00142516" w:rsidRDefault="0054325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Ця частина включає вступ, опис сучасного стану, цілі 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задачі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дослідження. Ви також повинні 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описати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методологію дослідження та 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основні підходи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також тип 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дослідження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та інноваційн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 заходи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43255" w:rsidRPr="00142516" w:rsidRDefault="0054325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Виділіть, чому ваш проект є оригінальним та інноваційним. Поясніть, який внесок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зробить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 </w:t>
      </w:r>
      <w:r w:rsidR="0082792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у галузь досліджень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 Опишіть будь-які нові концепції, підходи чи методи, які будуть використовуватися.</w:t>
      </w:r>
    </w:p>
    <w:p w:rsidR="00543255" w:rsidRPr="00142516" w:rsidRDefault="0054325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Підкресліть, як</w:t>
      </w:r>
      <w:r w:rsidR="00AF57F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F57F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кар'єрні можливості відкриває перед вами заплановані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дослідження, а також </w:t>
      </w:r>
      <w:r w:rsidR="00AF57F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можливості</w:t>
      </w:r>
      <w:r w:rsidR="00AF57F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співпраці </w:t>
      </w:r>
      <w:r w:rsidR="00AF57F1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надасть ваш проект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приймаючої організації.</w:t>
      </w:r>
    </w:p>
    <w:p w:rsidR="00CD6A8C" w:rsidRPr="00142516" w:rsidRDefault="0054325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Другим критерієм є чіткість і якість передачі знань. Ця частина також включає навчання, спрямоване на розвиток професійного розвитку дослідника. Фактично, проект повинен відповідати двосторонній передачі знань:</w:t>
      </w:r>
    </w:p>
    <w:p w:rsidR="00AF57F1" w:rsidRPr="00142516" w:rsidRDefault="00AF57F1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Тому корисно окреслити здатність дослідника передати раніше отримані 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ним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знан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приймаючій організації.</w:t>
      </w:r>
    </w:p>
    <w:p w:rsidR="00AF0D55" w:rsidRPr="00142516" w:rsidRDefault="00AF57F1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MSCA 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програмою для більш 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досвідчених фахівців, проте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програма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"Горизонт 2020" 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також відкрита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молодих науковці, починаючи з чотирьохрічного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досвіду 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роботи у науці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 На будь-якому етапі ви маєте сенс обговорювати питання пе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редачі знань - демонструючи свої знання та досвід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 також повинні надати інформацію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7622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кваліфікацію керівника та відповідність приймаючої організації вашому дослідженню</w:t>
      </w:r>
      <w:r w:rsidR="00AF0D5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AF0D55" w:rsidRPr="00142516" w:rsidRDefault="00AF0D5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Здібність дослідника досягти та зміцнити </w:t>
      </w:r>
      <w:r w:rsidR="004D1500">
        <w:rPr>
          <w:rFonts w:ascii="Times New Roman" w:eastAsia="Times New Roman" w:hAnsi="Times New Roman" w:cs="Times New Roman"/>
          <w:sz w:val="24"/>
          <w:szCs w:val="24"/>
          <w:lang w:val="uk-UA"/>
        </w:rPr>
        <w:t>свій професіоналізм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частиною "досконалої" пропозиції. Стипендії будуть присуджені найталановитішим дослідникам, що має бути показано їхніми ідеями та досвідом.</w:t>
      </w:r>
    </w:p>
    <w:p w:rsidR="005D039B" w:rsidRPr="00142516" w:rsidRDefault="005D039B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Оцінка досконалості</w:t>
      </w:r>
    </w:p>
    <w:p w:rsidR="005D039B" w:rsidRPr="00142516" w:rsidRDefault="00994510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1.</w:t>
      </w:r>
      <w:r w:rsidR="005D039B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якість досліджень є основою досконалості</w:t>
      </w:r>
    </w:p>
    <w:p w:rsidR="00CD6A8C" w:rsidRPr="00142516" w:rsidRDefault="0007217B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Основним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критер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ієм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досконалості є якість досліджень та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обґрунтованість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цілей дослідження, а також методологія та підхід, який слід використовувати. Продемонструйте методологію дослідження, посилаючись на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попередні досягнення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або результати за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іншими грантами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проектами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>Продемонструйте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актуальність вашого проекту, 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 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>він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використовуватиме найсучасніш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підх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оди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методи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Доказ </w:t>
      </w:r>
      <w:r w:rsidR="00567C3D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досконалості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проекту 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часто полягає 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науко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>вій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новизні 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</w:t>
      </w:r>
      <w:r w:rsidR="00567C3D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високій </w:t>
      </w:r>
      <w:r w:rsidR="005D039B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актуальності теми.</w:t>
      </w:r>
    </w:p>
    <w:p w:rsidR="00567C3D" w:rsidRPr="00142516" w:rsidRDefault="00567C3D" w:rsidP="00142516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Бути унікальним (оригінальність і сучасність)</w:t>
      </w:r>
    </w:p>
    <w:p w:rsidR="00AF57F1" w:rsidRPr="00142516" w:rsidRDefault="00567C3D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Важливо продемонструвати сучасний стан, а потім стверджувати, як це пов'язано з проектом. Покажіть потенціал проекту для генерації нових знань. Оригінальний та інноваційний підхід високо цінується! Проте </w:t>
      </w:r>
      <w:proofErr w:type="spellStart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інноваційність</w:t>
      </w:r>
      <w:proofErr w:type="spellEnd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слід плутати з 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>інноваціями.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MSCA фінансує дослідницькі проекти, в той час як дослідники з інноваці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орієнтовані на ринкові програми, повинні розглянути можливість подання свого проекту на інші програми </w:t>
      </w:r>
      <w:r w:rsidR="004654F8">
        <w:rPr>
          <w:rFonts w:ascii="Times New Roman" w:eastAsia="Times New Roman" w:hAnsi="Times New Roman" w:cs="Times New Roman"/>
          <w:sz w:val="24"/>
          <w:szCs w:val="24"/>
          <w:lang w:val="uk-UA"/>
        </w:rPr>
        <w:t>Горизонт 2020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C2BD7" w:rsidRPr="00142516" w:rsidRDefault="004C2BD7" w:rsidP="00142516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Зробіть ваш проект важливим для інших</w:t>
      </w:r>
    </w:p>
    <w:p w:rsidR="004C2BD7" w:rsidRPr="00142516" w:rsidRDefault="004C2BD7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Основна мета MSCA полягає в покращенні кар'єри дослідників шляхом мобільності та індивідуальних стипендій. Однак </w:t>
      </w:r>
      <w:r w:rsidR="0053100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рецензенти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3100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будуть більш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задоволені, коли </w:t>
      </w:r>
      <w:r w:rsidR="0053100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проект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демонстру</w:t>
      </w:r>
      <w:r w:rsidR="0053100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ватиме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актуальність у політичних, економічних та суспільних проблемах в ЄС та за її межами. В ідеалі, проекти повинні бути "своєчасними та релевантними" не лише в науковій області, але і в цілому для громадян.</w:t>
      </w:r>
    </w:p>
    <w:p w:rsidR="00531000" w:rsidRPr="00142516" w:rsidRDefault="00531000" w:rsidP="00142516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Не приховувати світло під ковдрою</w:t>
      </w:r>
    </w:p>
    <w:p w:rsidR="00531000" w:rsidRPr="00142516" w:rsidRDefault="00531000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MSCA спрямована на дослідників що мають вагомі здобутки у науці у відповідності до їх віку та кар'єри. Ваш проект повинен відображати те, що робить вас "досконалим" дослідником. Пишайся своєю незалежною роботою. Рецензенти також уважно вивчать вплив ваших попередніх досліджень, а також аудиторію, до якої вона дійшла. Це момент, щоб представити рецензентам свої досягнення, досвід, знання, навички </w:t>
      </w:r>
      <w:r w:rsidR="001A396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міжнародний вплив.</w:t>
      </w:r>
    </w:p>
    <w:p w:rsidR="009972CF" w:rsidRPr="00142516" w:rsidRDefault="009972CF" w:rsidP="00142516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Досвід та навички, дві сторони однієї монети</w:t>
      </w:r>
    </w:p>
    <w:p w:rsidR="009972CF" w:rsidRPr="00142516" w:rsidRDefault="009972CF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Ваш дослідницький проект буде заснований на досвіді, отриманому у попередніх проектах. Рецензенти шукають кандидатів, які добре обізнані у своїй науковій сфері. Однак, важливішим ніж досвід є лідерські та організаційні навички, які ви маєте показати посилаючись на попередні проекти</w:t>
      </w:r>
      <w:r w:rsidR="0017031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наукову роботу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54CD8" w:rsidRPr="00142516" w:rsidRDefault="00154CD8" w:rsidP="00142516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Якість дослідника та приймаючої організації</w:t>
      </w:r>
    </w:p>
    <w:p w:rsidR="00531000" w:rsidRPr="00142516" w:rsidRDefault="00F16F62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Рецензенти</w:t>
      </w:r>
      <w:r w:rsidR="00154CD8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тільки вивчають послужний список дослідника, але в рівній мірі ставляться до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досягнень</w:t>
      </w:r>
      <w:r w:rsidR="00154CD8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досвіду</w:t>
      </w:r>
      <w:r w:rsidR="00154CD8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міжнародного визнання приймаючої установи. Демонстрація хорошої якості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приймаючої установи</w:t>
      </w:r>
      <w:r w:rsidR="00154CD8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виправдовує вибір цієї організації над іншою.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Таким же чином</w:t>
      </w:r>
      <w:r w:rsidR="00154CD8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хороша якість наукової команди може бути настільки ж важливою, як і профіль само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="00154CD8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приймаючої установи</w:t>
      </w:r>
      <w:r w:rsidR="00154CD8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16F62" w:rsidRPr="00142516" w:rsidRDefault="00F16F62" w:rsidP="00142516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Здатність та готовність працювати в нових умовах</w:t>
      </w:r>
    </w:p>
    <w:p w:rsidR="00F16F62" w:rsidRPr="00142516" w:rsidRDefault="00F16F62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Здається, що однією з характеристик досконалості дослідників є те, що вони готові працювати в нових наукових середовищах, щоб поглиблювати власні знання та інформувати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про свої дослідження. Це означає, зокрема, те, що ваші дослідження повинні бути багатопрофільні або міждисциплінарні, і що ви готові навчатися та обмінюватися знаннями з командою приймаючої </w:t>
      </w:r>
      <w:r w:rsidR="00ED0F7B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організації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 Розширення академічного та професійного горизонту також є важливим кроком до професійної зрілості.</w:t>
      </w:r>
    </w:p>
    <w:p w:rsidR="00283CDA" w:rsidRPr="00142516" w:rsidRDefault="00283CDA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83CDA" w:rsidRPr="00142516" w:rsidRDefault="00283CDA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ВПЛИВ</w:t>
      </w:r>
    </w:p>
    <w:p w:rsidR="00283CDA" w:rsidRPr="00142516" w:rsidRDefault="00283CDA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Критерії впливу</w:t>
      </w:r>
    </w:p>
    <w:p w:rsidR="00283CDA" w:rsidRPr="00142516" w:rsidRDefault="00283CDA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Існує дві причини, чому європейські проекти повинні мати реальний вплив: по-перше, щоб виправдати державні субсидії, надані проектам; а по-друге, </w:t>
      </w:r>
      <w:r w:rsidR="007B67C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досягти своїх політичних цілей, якими є створення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B67C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"єдиного європейського дослідницького простору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" та спри</w:t>
      </w:r>
      <w:r w:rsidR="007B67C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яння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"розумному, сталому та всеохоплюючому росту" в </w:t>
      </w:r>
      <w:r w:rsidR="007B67C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інноваційній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B67C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єдності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5645B" w:rsidRPr="00142516" w:rsidRDefault="0035645B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MSCA, </w:t>
      </w:r>
      <w:r w:rsidR="00007D3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вплив вашого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</w:t>
      </w:r>
      <w:r w:rsidR="00007D3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має бути трибічним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007D3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а) він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має вплинути на вашу кар'єру</w:t>
      </w:r>
      <w:r w:rsidR="00007D3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07D3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б)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на європейське суспільство та економіку</w:t>
      </w:r>
      <w:r w:rsidR="00007D3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; в) в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ін повинен "</w:t>
      </w:r>
      <w:r w:rsidR="00007D3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поширювати дослідження", "сприяти інноваціям" та "просувати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786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професію дослідника в маси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"</w:t>
      </w:r>
      <w:r w:rsidR="0045786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20A45" w:rsidRPr="00142516" w:rsidRDefault="00D20A45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Оцінка впливу</w:t>
      </w:r>
    </w:p>
    <w:p w:rsidR="00D20A45" w:rsidRPr="00142516" w:rsidRDefault="00D20A45" w:rsidP="00142516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Будьте чіткі щодо цілей вашої дослідницької підготовки</w:t>
      </w:r>
    </w:p>
    <w:p w:rsidR="00D20A45" w:rsidRPr="00142516" w:rsidRDefault="00D20A45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Ретельне планування - це половина справи. </w:t>
      </w:r>
      <w:r w:rsidR="00A64A6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Рецензенти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приділяють велику увагу чіткості, з якою пояснюються "цілі </w:t>
      </w:r>
      <w:r w:rsidR="00A64A6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наукового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тренінгу</w:t>
      </w:r>
      <w:r w:rsidR="00A64A6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(стажування)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". Продемонструйте належні навички планування, визначивши цілі вашого проекту з точки зору дослідницької підготовки та зв'язавши ці цілі з відповідною діяльністю. </w:t>
      </w:r>
      <w:r w:rsidR="00A64A6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Ц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ілі </w:t>
      </w:r>
      <w:r w:rsidR="00A64A6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мають бути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надійними та конкретними.</w:t>
      </w:r>
    </w:p>
    <w:p w:rsidR="00D20A45" w:rsidRPr="00142516" w:rsidRDefault="00D20A45" w:rsidP="00142516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Зв'яжіть проект з </w:t>
      </w:r>
      <w:r w:rsidR="00A64A69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перспективою вашою науково</w:t>
      </w:r>
      <w:r w:rsidR="007A238C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ї</w:t>
      </w:r>
      <w:r w:rsidR="00A64A69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7A238C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кар’єри</w:t>
      </w:r>
    </w:p>
    <w:p w:rsidR="00D20A45" w:rsidRPr="00142516" w:rsidRDefault="00D20A45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Метою індивідуальних стипендій є </w:t>
      </w:r>
      <w:r w:rsidR="00A64A6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суттєвий розвиток кар'єри науковців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A64A6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, таким чином, повин</w:t>
      </w:r>
      <w:r w:rsidR="00A64A6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ен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чітко пояснити, як стипендія сприятиме вашому кар'єрному розвитку. Щоб проілюструвати </w:t>
      </w:r>
      <w:r w:rsidR="00A64A6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внесок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який ваш професійний розвиток </w:t>
      </w:r>
      <w:r w:rsidR="00A64A6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отримає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гранту, ви можете вказати на можлив</w:t>
      </w:r>
      <w:r w:rsidR="00115E2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ість створення наукових стосунків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які призведуть до майбутнього співробітництва, або </w:t>
      </w:r>
      <w:r w:rsidR="00115E2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отримання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нових </w:t>
      </w:r>
      <w:r w:rsidR="00115E2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вмінь,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навичок та більш цікавого профілю.</w:t>
      </w:r>
    </w:p>
    <w:p w:rsidR="00D20A45" w:rsidRPr="00142516" w:rsidRDefault="0001430C" w:rsidP="00142516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Обґрунтуйте свої недоліки </w:t>
      </w:r>
      <w:r w:rsidR="00267539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D20A45" w:rsidRPr="00142516" w:rsidRDefault="00115E2A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Багато</w:t>
      </w:r>
      <w:r w:rsidR="00D20A4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зауважень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430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рецензентів</w:t>
      </w:r>
      <w:r w:rsidR="00D20A4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вказують на нечіткість </w:t>
      </w:r>
      <w:r w:rsidR="0001430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дій у проектах</w:t>
      </w:r>
      <w:r w:rsidR="00D20A4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Оцінювачі можуть виявити невідповідності, </w:t>
      </w:r>
      <w:r w:rsidR="0001430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недоліки</w:t>
      </w:r>
      <w:r w:rsidR="00D20A4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чи відсутні</w:t>
      </w:r>
      <w:r w:rsidR="0001430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сть зв'язків</w:t>
      </w:r>
      <w:r w:rsidR="00D20A4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між запропонованими засобами та </w:t>
      </w:r>
      <w:r w:rsidR="0001430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ціллю, що вони мають досягти</w:t>
      </w:r>
      <w:r w:rsidR="00D20A4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Обов'язково обґрунтуйте свої </w:t>
      </w:r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недоліки</w:t>
      </w:r>
      <w:r w:rsidR="00D20A4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зосередьтеся на конкретних, а не загальних </w:t>
      </w:r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заходах</w:t>
      </w:r>
      <w:r w:rsidR="00D20A4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навичках.</w:t>
      </w:r>
    </w:p>
    <w:p w:rsidR="00D20A45" w:rsidRPr="00142516" w:rsidRDefault="00843A79" w:rsidP="00142516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Н</w:t>
      </w:r>
      <w:r w:rsidR="00D20A45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е </w:t>
      </w: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цурайтеся виробництва</w:t>
      </w:r>
    </w:p>
    <w:p w:rsidR="00D20A45" w:rsidRPr="00142516" w:rsidRDefault="00D20A45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Програма MSCA спрямована на дослідження, що проводяться як в академічному, так і в не академічному секторі. </w:t>
      </w:r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півпраця з приватним сектором може стати важливою </w:t>
      </w:r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запорукою успішності проекту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 У новій програмі посилання на "</w:t>
      </w:r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виробництво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" виражається в заохоченні </w:t>
      </w:r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міжсекторальної</w:t>
      </w:r>
      <w:proofErr w:type="spellEnd"/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мобільності.</w:t>
      </w:r>
      <w:r w:rsidR="00CB2F3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Міжсекторальна</w:t>
      </w:r>
      <w:proofErr w:type="spellEnd"/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мобільність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може </w:t>
      </w:r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зна</w:t>
      </w:r>
      <w:r w:rsidR="00CB2F3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ч</w:t>
      </w:r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но підвищити рейтинг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дослідницьк</w:t>
      </w:r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</w:t>
      </w:r>
      <w:r w:rsidR="00843A7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D20A45" w:rsidRPr="00142516" w:rsidRDefault="00CB2F3A" w:rsidP="00142516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Внесок у європейський досвід та конкурентоспроможність</w:t>
      </w:r>
    </w:p>
    <w:p w:rsidR="00D20A45" w:rsidRPr="00142516" w:rsidRDefault="00D20A45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Європа пишається високою якістю своєї досл</w:t>
      </w:r>
      <w:r w:rsidR="00CB2F3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ідницької системи, але не слід зупинятися на досягнутому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Кожен проект, що фінансується ЄС, повинен бути послом європейського досвіду. В ідеалі </w:t>
      </w:r>
      <w:r w:rsidR="00CB2F3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нові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знання </w:t>
      </w:r>
      <w:r w:rsidR="00CB2F3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мають стати інноваціями або технологіями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, які можуть покращити економічну ефективність континенту.</w:t>
      </w:r>
    </w:p>
    <w:p w:rsidR="00D20A45" w:rsidRPr="00142516" w:rsidRDefault="00166F61" w:rsidP="00142516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Якість п</w:t>
      </w:r>
      <w:r w:rsidR="00CB2F3A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риймаюча організація </w:t>
      </w:r>
    </w:p>
    <w:p w:rsidR="00D20A45" w:rsidRPr="00142516" w:rsidRDefault="00D20A45" w:rsidP="00142516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Посилання на різні особливості приймаючої організації, </w:t>
      </w:r>
      <w:r w:rsidR="00767BD7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її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команди та відповідального </w:t>
      </w:r>
      <w:r w:rsidR="00767BD7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дослідника за проект </w:t>
      </w:r>
      <w:r w:rsidR="00767BD7" w:rsidRPr="00142516">
        <w:rPr>
          <w:rFonts w:ascii="Times New Roman" w:eastAsia="Times New Roman" w:hAnsi="Times New Roman" w:cs="Times New Roman"/>
          <w:sz w:val="24"/>
          <w:szCs w:val="24"/>
          <w:lang w:val="en-US"/>
        </w:rPr>
        <w:t>MSCA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часто зустрічаються у звітах про оцінку. Досвід, </w:t>
      </w:r>
      <w:r w:rsidR="00767BD7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наукове співробітництво та контакти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приймаючої організації є важливими елемента</w:t>
      </w:r>
      <w:r w:rsidR="00767BD7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ми хорошої пропозиції. Приймаюча організація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повинн</w:t>
      </w:r>
      <w:r w:rsidR="00767BD7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7BD7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лише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добре відповідати науковим амбіціям проекту, але також повинн</w:t>
      </w:r>
      <w:r w:rsidR="00767BD7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продемонструвати свій досвід у </w:t>
      </w:r>
      <w:r w:rsidR="00767BD7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вихованні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навчанні вчених. У будь-якому разі пропозиції повинні бути підготовлені в тісному співробітництві між майбутнім </w:t>
      </w:r>
      <w:r w:rsidR="00104817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стипендіатом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командою приймаючої сторони. Ця співпраця </w:t>
      </w:r>
      <w:r w:rsidR="00ED0F7B">
        <w:rPr>
          <w:rFonts w:ascii="Times New Roman" w:eastAsia="Times New Roman" w:hAnsi="Times New Roman" w:cs="Times New Roman"/>
          <w:sz w:val="24"/>
          <w:szCs w:val="24"/>
          <w:lang w:val="uk-UA"/>
        </w:rPr>
        <w:t>має проходити стрічкою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через </w:t>
      </w:r>
      <w:r w:rsidR="00104817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04817" w:rsidRPr="00142516" w:rsidRDefault="00104817" w:rsidP="00142516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Мобільність має бути реальним засобом отримання нового досвіду та розширення наукового зв’язків </w:t>
      </w:r>
    </w:p>
    <w:p w:rsidR="00AF57F1" w:rsidRPr="00142516" w:rsidRDefault="00104817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Подібно до того, як Марія </w:t>
      </w:r>
      <w:proofErr w:type="spellStart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Склодовська</w:t>
      </w:r>
      <w:proofErr w:type="spellEnd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залишила свою батьківщину Польщу з метою навчання у Франції, європейське </w:t>
      </w:r>
      <w:r w:rsidR="0051542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стажування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має на меті розширення горизонту дослідника, передбачаючи </w:t>
      </w:r>
      <w:r w:rsidR="0051542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отримання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більш загальни</w:t>
      </w:r>
      <w:r w:rsidR="00BB22D6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х вмінь та знань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B22D6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коли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</w:t>
      </w:r>
      <w:r w:rsidR="00BB22D6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більність стає ключовою вимогою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для реальної зміни</w:t>
      </w:r>
      <w:r w:rsidR="00ED0F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наукового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D0F7B">
        <w:rPr>
          <w:rFonts w:ascii="Times New Roman" w:eastAsia="Times New Roman" w:hAnsi="Times New Roman" w:cs="Times New Roman"/>
          <w:sz w:val="24"/>
          <w:szCs w:val="24"/>
          <w:lang w:val="uk-UA"/>
        </w:rPr>
        <w:t>середовища</w:t>
      </w:r>
      <w:r w:rsidR="00BB22D6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Проект повинен покращити </w:t>
      </w:r>
      <w:r w:rsidR="00BB22D6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лише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знання</w:t>
      </w:r>
      <w:r w:rsidR="00BB22D6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навички дослідників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, але він також повинен допомогти вам стати кращим менеджером та незалежним лідером.</w:t>
      </w:r>
    </w:p>
    <w:p w:rsidR="00EF45F5" w:rsidRPr="00142516" w:rsidRDefault="00D63E89" w:rsidP="00142516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Внесок у європейський дослідницький простір</w:t>
      </w:r>
    </w:p>
    <w:p w:rsidR="00EF45F5" w:rsidRPr="00142516" w:rsidRDefault="00EF45F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думку європейських політиків, єдина галузь досліджень в Європі є важливим блоком </w:t>
      </w:r>
      <w:r w:rsidR="00D63E8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розбудови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конкурентоспроможної Європи. </w:t>
      </w:r>
      <w:r w:rsidR="00D63E8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За оптимальних умов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дослідники, наукові знання та техно</w:t>
      </w:r>
      <w:r w:rsidR="00D63E8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логії можуть вільно циркулювати у європейському дослідницькому просторі (ERA)</w:t>
      </w:r>
    </w:p>
    <w:p w:rsidR="00EF45F5" w:rsidRPr="00142516" w:rsidRDefault="00EF45F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r w:rsidR="00465717">
        <w:rPr>
          <w:rFonts w:ascii="Times New Roman" w:eastAsia="Times New Roman" w:hAnsi="Times New Roman" w:cs="Times New Roman"/>
          <w:sz w:val="24"/>
          <w:szCs w:val="24"/>
          <w:lang w:val="uk-UA"/>
        </w:rPr>
        <w:t>досягнення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цієї мети Європейсько</w:t>
      </w:r>
      <w:r w:rsidR="00D63E8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комісі</w:t>
      </w:r>
      <w:r w:rsidR="00D63E8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єю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визначено кілька пріоритетів. Вони включають транснаціональне співробітництво, відкритий ринок праці для дослідників та оптимальний обіг наукових знань.</w:t>
      </w:r>
    </w:p>
    <w:p w:rsidR="00EF45F5" w:rsidRPr="00142516" w:rsidRDefault="00EF45F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Стипендія MSCA м</w:t>
      </w:r>
      <w:r w:rsidR="00D63E89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ає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сприяти цим амбіційним цілям, оскільки об'єднує дослідників з різних регіонів Європи (і світу), створюючи "синергію" в рамках національних дослідницьких програм.</w:t>
      </w:r>
    </w:p>
    <w:p w:rsidR="00157317" w:rsidRPr="00142516" w:rsidRDefault="00157317" w:rsidP="00142516">
      <w:pPr>
        <w:pStyle w:val="a3"/>
        <w:numPr>
          <w:ilvl w:val="2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Охоплення (поширення ідей, спілкування, розповсюдження)</w:t>
      </w:r>
    </w:p>
    <w:p w:rsidR="00157317" w:rsidRPr="00142516" w:rsidRDefault="00157317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Результати вашого проекту повинні бути доступними для громадськості - як академічним колам, так і широкій громадськості. Для цього проект повинен мати відповідну</w:t>
      </w:r>
      <w:r w:rsidR="00257FCD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стратегію щодо інформування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громадсь</w:t>
      </w:r>
      <w:r w:rsidR="00257FCD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кості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257FCD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 повинен чітко відповісти на наступні питання</w:t>
      </w:r>
      <w:r w:rsidR="00ED0F7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Хто є цільовою аудиторією кожно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го заходу за проектом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? Яким чином 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планується взаємодіяти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аудиторією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? Як ви 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можете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оцінити результати цих комунікаційних заходів? Намагайтеся надати чіткі відповіді на ці питання.</w:t>
      </w:r>
    </w:p>
    <w:p w:rsidR="00157317" w:rsidRPr="00142516" w:rsidRDefault="00157317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Можливі комунікаційні заходи включають статті для преси, семінари та публічні лекції, а також академічні та неакадемічні публікації. Можливості 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насправді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необмежені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, поширення інформації може здійснюватись за допомогою додатків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смартфонів</w:t>
      </w:r>
      <w:proofErr w:type="spellEnd"/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, веб-сайтів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вебінарів</w:t>
      </w:r>
      <w:proofErr w:type="spellEnd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будь-як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их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носі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="0010140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поширювачі</w:t>
      </w:r>
      <w:r w:rsidR="0010140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A0278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інформації</w:t>
      </w:r>
      <w:r w:rsidR="0010140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 Все це може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допомогти виконати вимогу щодо інформування широкої публіки про результати вашого проекту</w:t>
      </w:r>
      <w:r w:rsidR="0010140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B2AFF" w:rsidRPr="00142516" w:rsidRDefault="00F2172D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ВИКОНАННЯ</w:t>
      </w:r>
    </w:p>
    <w:p w:rsidR="00F2172D" w:rsidRPr="00142516" w:rsidRDefault="005B2AFF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</w:t>
      </w:r>
      <w:r w:rsidR="00F2172D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ритерії</w:t>
      </w: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виконання</w:t>
      </w:r>
    </w:p>
    <w:p w:rsidR="00F2172D" w:rsidRPr="00142516" w:rsidRDefault="00F2172D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цьому розділі </w:t>
      </w:r>
      <w:r w:rsidR="005B2A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ви </w:t>
      </w:r>
      <w:r w:rsidR="00906575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маєте продемонструвати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загальну узгодженість і ефективність плану роботи вашого проекту, особливо у відношенні розподілу завдань і ресурсів.</w:t>
      </w:r>
    </w:p>
    <w:p w:rsidR="00F2172D" w:rsidRPr="00142516" w:rsidRDefault="00F2172D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 можете </w:t>
      </w:r>
      <w:r w:rsidR="005B2A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розглядати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план </w:t>
      </w:r>
      <w:r w:rsidR="005B2A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 інструмент який вам допоможе </w:t>
      </w:r>
      <w:r w:rsidR="005B2A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досягти «впливу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». Графік </w:t>
      </w:r>
      <w:proofErr w:type="spellStart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Гантта</w:t>
      </w:r>
      <w:proofErr w:type="spellEnd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найбільш ефективним</w:t>
      </w:r>
      <w:r w:rsidR="005B2A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засобом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 Він повинен описувати робо</w:t>
      </w:r>
      <w:r w:rsidR="005B2A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чі пакети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основні результати й контрольні показники, а також </w:t>
      </w:r>
      <w:r w:rsidR="005B2A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стажування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якщо ви </w:t>
      </w:r>
      <w:r w:rsidR="005B2AFF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їх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плануєте.</w:t>
      </w:r>
    </w:p>
    <w:p w:rsidR="00F2172D" w:rsidRPr="00142516" w:rsidRDefault="00906575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Надайте відповідь стосовно того хто </w:t>
      </w:r>
      <w:r w:rsidR="001E0DA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та як буде керувати проектом,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чи передбачено у</w:t>
      </w:r>
      <w:r w:rsidR="00F2172D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правління якістю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та ризиками</w:t>
      </w:r>
      <w:r w:rsidR="001E0DA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F2172D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Дайте </w:t>
      </w:r>
      <w:r w:rsidR="001E0DA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чіткий опис </w:t>
      </w:r>
      <w:r w:rsidR="00F2172D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організації проекту та с</w:t>
      </w:r>
      <w:r w:rsidR="001E0DA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труктури</w:t>
      </w:r>
      <w:r w:rsidR="00F2172D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управління, включаючи фінансові стратегії управління і механізм контролю прогресу.</w:t>
      </w:r>
    </w:p>
    <w:p w:rsidR="00F2172D" w:rsidRPr="00142516" w:rsidRDefault="00F2172D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Ваш робочий план повинен взяти до уваги ри</w:t>
      </w:r>
      <w:r w:rsidR="001E0DA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зики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які можуть поставити під загрозу результати проектів </w:t>
      </w:r>
      <w:r w:rsidR="001E0DA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та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включ</w:t>
      </w:r>
      <w:r w:rsidR="001E0DA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 план дій в надзвичайних ситуаціях на випадок якщо </w:t>
      </w:r>
      <w:r w:rsidR="001E0DA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такі випадки відбудуться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Графік </w:t>
      </w:r>
      <w:proofErr w:type="spellStart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Гантта</w:t>
      </w:r>
      <w:proofErr w:type="spellEnd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також може містити </w:t>
      </w:r>
      <w:r w:rsidR="001E0DAA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посилання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контроль </w:t>
      </w:r>
      <w:r w:rsidR="00465717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проектів, управління ризиками та права інтелектуальної власності.</w:t>
      </w:r>
    </w:p>
    <w:p w:rsidR="004D66CE" w:rsidRPr="00142516" w:rsidRDefault="004D66CE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Інфраструктура та інституційне середовище вашої приймаючо</w:t>
      </w:r>
      <w:r w:rsidR="00465717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організації мають бути відповідними. Необхідно окреслити відповідальних осіб, яких стосується ця пропозиція, та їх основні завдання. Поясніть, чому стипендія має максимальний шанс на успішний результат, враховуючи обране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наукове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середовище.</w:t>
      </w:r>
    </w:p>
    <w:p w:rsidR="00F2172D" w:rsidRPr="00142516" w:rsidRDefault="004D66CE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Надайте відповідь стосовно того які компетенції та досвід мають організації-учасники, яким чином вони доповнюють один одного. Стипендія повинна бути взаємовигідною як для дослідника, так і для приймаючої організації. Якщо заплановано відрядження-стажування, слід описати роль організацій-партнерів, в яких відбудуться це відрядження.</w:t>
      </w:r>
    </w:p>
    <w:p w:rsidR="00F2172D" w:rsidRPr="00142516" w:rsidRDefault="004D66CE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Оцінка виконання</w:t>
      </w:r>
    </w:p>
    <w:p w:rsidR="004D66CE" w:rsidRPr="00142516" w:rsidRDefault="004D66CE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Достовірність та </w:t>
      </w:r>
      <w:r w:rsidR="001B763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обґрунтованість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ключовими </w:t>
      </w:r>
      <w:r w:rsidR="001B763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моментами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цієї частини вашої пропозиції. Всі </w:t>
      </w:r>
      <w:proofErr w:type="spellStart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суб-критерії</w:t>
      </w:r>
      <w:proofErr w:type="spellEnd"/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цій частині повинні бути достовірними і доцільними.</w:t>
      </w:r>
    </w:p>
    <w:p w:rsidR="004D66CE" w:rsidRPr="00142516" w:rsidRDefault="004D66CE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Використовуючи техніку творчості під назвою </w:t>
      </w:r>
      <w:r w:rsidR="001B763C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Диснеївський метод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учасникам пропонується обговорити проблему з точки зору глядача, мрійника, </w:t>
      </w:r>
      <w:r w:rsidR="00465717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виконавця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критика. </w:t>
      </w:r>
      <w:r w:rsidR="00465717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аш амбіційний проект піддається перевірці реальності. Надайте добре обґрунтований та надійний план впровадження.</w:t>
      </w:r>
    </w:p>
    <w:p w:rsidR="004D66CE" w:rsidRPr="00142516" w:rsidRDefault="001B763C" w:rsidP="00142516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Амбіції – це добре</w:t>
      </w:r>
      <w:r w:rsidR="004D66CE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, але </w:t>
      </w: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це не має бути занадто</w:t>
      </w:r>
      <w:r w:rsidR="004D66CE"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сміливо</w:t>
      </w:r>
    </w:p>
    <w:p w:rsidR="004D66CE" w:rsidRPr="00142516" w:rsidRDefault="001B763C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Амбіції є привабливими, п</w:t>
      </w:r>
      <w:r w:rsidR="004D66CE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роте план </w:t>
      </w:r>
      <w:r w:rsidR="00465717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</w:t>
      </w:r>
      <w:r w:rsidR="004D66CE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повинен бути реалістичним.</w:t>
      </w:r>
      <w:r w:rsidR="00A90F1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Вам потрібно скласти план, який відповідає певній шкалі часу і конкретним вимогам вашого дослідження щодо часу (коли?) та простору (де?). Не плануйте закінчити лабораторний супровід через два місяці, якщо ви знаєте, що це неможливо зробити через три. 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A90F1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ксперти, що оціню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A90F1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ть ваш проект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90F1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обізнані стосовного того чи це можливо або ні. Тому не перезавантажуйте свій робочий план, не переносьте 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завдання </w:t>
      </w:r>
      <w:r w:rsidR="00A90F1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одного 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>робочого пакету</w:t>
      </w:r>
      <w:r w:rsidR="00A90F1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A90F14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інший. Замість цього, будьте чесними з самим собою, і організовуйте свій час і відповідальність в розумній манері.</w:t>
      </w:r>
    </w:p>
    <w:p w:rsidR="00A90F14" w:rsidRPr="00142516" w:rsidRDefault="00C57210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Робочі плани завжди повинні супроводжуватись якомога більшою кількістю поставлених завдань і необхідних етапів проекту. Ці помічники допомагають відстежити маршрут вашого проекту. Хоча результати </w:t>
      </w:r>
      <w:r w:rsidR="00F74BE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завжди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можуть бути </w:t>
      </w:r>
      <w:r w:rsidR="00F74BE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значеними, загальний напрям проекту повинен бути чітким. </w:t>
      </w:r>
      <w:r w:rsidR="00F74BE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Завдання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етапи є дуже корисними, щоб допомогти вам уникнути відхилень від ваших початкових цілей. Крім того, вони є важливими для моніторингу просування проекту. 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F74BE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ецензенти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хочуть побачити, що належні 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>механізми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моніторингу </w:t>
      </w:r>
      <w:r w:rsidR="00F74BE0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діють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відповідно до ключових 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>заходів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проекту.</w:t>
      </w:r>
    </w:p>
    <w:p w:rsidR="00F74BE0" w:rsidRPr="00142516" w:rsidRDefault="00F74BE0" w:rsidP="00142516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Підтримка приймаючої організації</w:t>
      </w:r>
    </w:p>
    <w:p w:rsidR="00F74BE0" w:rsidRPr="00142516" w:rsidRDefault="00F74BE0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Проект може бути належним чином впроваджений лише тоді, коли приймаюча організація підтримуватиме вас на кожному кроці. Приймаюча організація повинна полегшити вашу інтеграцію та </w:t>
      </w:r>
      <w:r w:rsidR="00465717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вашого проекту в своїх умовах, контролювати досягнення вашої дослідницької діяльності, полегшити адміністративне навантаження та бути готовими використовувати знання, які ви привнесете в установу.</w:t>
      </w:r>
    </w:p>
    <w:p w:rsidR="00F10453" w:rsidRPr="00142516" w:rsidRDefault="00F10453" w:rsidP="00142516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Побудуйте власну систему захисту проекту</w:t>
      </w:r>
    </w:p>
    <w:p w:rsidR="00F74BE0" w:rsidRPr="00142516" w:rsidRDefault="00CF670D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F1045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лан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подолання непередбачених ситуацій має бути надійною системою захисту проекту</w:t>
      </w:r>
      <w:r w:rsidR="00F1045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F1045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ля дослідників важливо знати, як вони 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будуть </w:t>
      </w:r>
      <w:r w:rsidR="00F1045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реагу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вати</w:t>
      </w:r>
      <w:r w:rsidR="00F1045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непередбачені ситуації. Ось чому слід керувати ризиком. Які частини робочого плану можуть перетворитися на камінь спотикання? Який ваш план Б, якщо це стане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ться? Інтелектуальна власність </w:t>
      </w:r>
      <w:r w:rsidR="00F10453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- це ще один ключовий аспект плану впровадження, який потребує розгляду, оскільки це може затримати або поставити під загрозу ваші дослідження.</w:t>
      </w:r>
    </w:p>
    <w:p w:rsidR="00F74BE0" w:rsidRPr="00142516" w:rsidRDefault="00CF670D" w:rsidP="00142516">
      <w:pPr>
        <w:pStyle w:val="a3"/>
        <w:numPr>
          <w:ilvl w:val="0"/>
          <w:numId w:val="1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Подумайте про налагодження контактів</w:t>
      </w:r>
    </w:p>
    <w:p w:rsidR="00CF670D" w:rsidRPr="00142516" w:rsidRDefault="00CF670D" w:rsidP="001425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Інтеграція у команду приймаючої організації може дозволити вам увійти </w:t>
      </w:r>
      <w:r w:rsidR="00144EE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їх науковий простір. Їх співпраця з іншими інституціями можуть надихнути вас, наприклад, на відрядження. Особливо цікавими є міжнародні наукові співробітництва. Приклади можуть включати попередню участь у європейських проектах, обмін персоналом або спільні публікації. Співпраця може також включати промисловий сектор</w:t>
      </w:r>
      <w:r w:rsidR="005D6546"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42516" w:rsidRDefault="00142516" w:rsidP="0014251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D6A8C" w:rsidRPr="00142516" w:rsidRDefault="004D66CE" w:rsidP="0014251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Переклад </w:t>
      </w:r>
      <w:r w:rsidR="00CD6A8C" w:rsidRPr="00142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 матеріалами:</w:t>
      </w:r>
    </w:p>
    <w:p w:rsidR="007A504F" w:rsidRDefault="00CD6A8C" w:rsidP="009B29B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gramStart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Horst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gramEnd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gramStart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write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winning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proposal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individual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fellowships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IF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).</w:t>
      </w:r>
      <w:proofErr w:type="gramEnd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Evidence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from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gramStart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evaluation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summary</w:t>
      </w:r>
      <w:proofErr w:type="gramEnd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reports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proofErr w:type="gramStart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First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edition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gramEnd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 2014.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– </w:t>
      </w:r>
      <w:proofErr w:type="spellStart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Luxenburg</w:t>
      </w:r>
      <w:proofErr w:type="spellEnd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Luxinnovation</w:t>
      </w:r>
      <w:proofErr w:type="spellEnd"/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14251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 36 p.</w:t>
      </w:r>
      <w:bookmarkStart w:id="1" w:name="bookmark0"/>
    </w:p>
    <w:p w:rsidR="007A504F" w:rsidRDefault="007A504F" w:rsidP="009B29B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7A504F" w:rsidRDefault="007A504F" w:rsidP="007A504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br w:type="page"/>
      </w:r>
    </w:p>
    <w:p w:rsidR="007A504F" w:rsidRDefault="007A504F" w:rsidP="007A504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7A504F" w:rsidRDefault="007A504F" w:rsidP="009B29B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7A504F" w:rsidRPr="007A504F" w:rsidRDefault="007A504F" w:rsidP="007A50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A50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Вимоги до оформлення проекту </w:t>
      </w:r>
      <w:r w:rsidRPr="007A504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MSCA</w:t>
      </w:r>
      <w:r w:rsidRPr="007A50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індивідуальні стипендії</w:t>
      </w:r>
    </w:p>
    <w:p w:rsidR="007A504F" w:rsidRPr="009B495D" w:rsidRDefault="007A504F" w:rsidP="007A504F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інімальний розмір </w:t>
      </w:r>
      <w:proofErr w:type="spellStart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>шрифта</w:t>
      </w:r>
      <w:proofErr w:type="spellEnd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— 11, рекомендований тип </w:t>
      </w:r>
      <w:proofErr w:type="spellStart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>шрифта</w:t>
      </w:r>
      <w:proofErr w:type="spellEnd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— </w:t>
      </w:r>
      <w:proofErr w:type="spellStart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>Arial</w:t>
      </w:r>
      <w:proofErr w:type="spellEnd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>Times</w:t>
      </w:r>
      <w:proofErr w:type="spellEnd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>New</w:t>
      </w:r>
      <w:proofErr w:type="spellEnd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>Roman</w:t>
      </w:r>
      <w:proofErr w:type="spellEnd"/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</w:p>
    <w:p w:rsidR="007A504F" w:rsidRPr="009B495D" w:rsidRDefault="007A504F" w:rsidP="007A504F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оля сторінки — не менше 15 мм. </w:t>
      </w:r>
    </w:p>
    <w:p w:rsidR="007A504F" w:rsidRPr="009B495D" w:rsidRDefault="007A504F" w:rsidP="007A504F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аксимальний обсяг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опису проектної </w:t>
      </w:r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пропозиції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розділів Досконалість, Вплив та </w:t>
      </w:r>
      <w:r w:rsidR="00465717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</w:t>
      </w:r>
      <w:r w:rsidR="00957A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10 сторінок.</w:t>
      </w:r>
    </w:p>
    <w:p w:rsidR="007A504F" w:rsidRPr="007A504F" w:rsidRDefault="007A504F" w:rsidP="007A504F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Обсяг </w:t>
      </w:r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CV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науковця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B495D">
        <w:rPr>
          <w:rFonts w:ascii="Times New Roman" w:eastAsia="Times New Roman" w:hAnsi="Times New Roman" w:cs="Times New Roman"/>
          <w:sz w:val="24"/>
          <w:szCs w:val="24"/>
          <w:lang w:val="uk-UA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5 сторінок</w:t>
      </w:r>
      <w:r w:rsidR="00957A1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A504F" w:rsidRPr="007A504F" w:rsidRDefault="007A504F" w:rsidP="007A504F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Обсяг опису приймаючої організації до 1 сторінки.</w:t>
      </w:r>
    </w:p>
    <w:p w:rsidR="007A504F" w:rsidRDefault="007A504F" w:rsidP="009B29B9">
      <w:pPr>
        <w:spacing w:after="0"/>
        <w:jc w:val="both"/>
        <w:rPr>
          <w:b/>
          <w:sz w:val="24"/>
          <w:szCs w:val="24"/>
          <w:lang w:val="uk-UA"/>
        </w:rPr>
      </w:pPr>
    </w:p>
    <w:p w:rsidR="007A504F" w:rsidRPr="00A03394" w:rsidRDefault="007A504F" w:rsidP="007A50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2516">
        <w:rPr>
          <w:rFonts w:ascii="Times New Roman" w:eastAsia="Times New Roman" w:hAnsi="Times New Roman" w:cs="Times New Roman"/>
          <w:sz w:val="24"/>
          <w:szCs w:val="24"/>
          <w:lang w:val="uk-UA"/>
        </w:rPr>
        <w:t>Ваш національний контактний пункт програми Горизонт-2020 може надати вам подальшу підтримки у підготовці успішного проекту</w:t>
      </w:r>
      <w:r w:rsidR="00A033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hyperlink r:id="rId9" w:history="1">
        <w:r w:rsidR="00A03394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http</w:t>
        </w:r>
      </w:hyperlink>
      <w:hyperlink r:id="rId10" w:history="1">
        <w:r w:rsidR="00A03394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="00A03394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h</w:t>
        </w:r>
        <w:r w:rsidR="00A03394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2020.</w:t>
        </w:r>
        <w:r w:rsidR="00A03394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com</w:t>
        </w:r>
        <w:r w:rsidR="00A03394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A03394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ua</w:t>
        </w:r>
        <w:proofErr w:type="spellEnd"/>
        <w:r w:rsidR="00A03394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="00A03394" w:rsidRPr="00736F8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uk</w:t>
        </w:r>
        <w:proofErr w:type="spellEnd"/>
      </w:hyperlink>
      <w:r w:rsidR="00A03394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DD7D02" w:rsidRDefault="00DD7D02" w:rsidP="009B29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FF76EE" w:rsidRPr="00FF76EE" w:rsidRDefault="009B29B9" w:rsidP="00FF76EE">
      <w:pPr>
        <w:pStyle w:val="20"/>
        <w:keepNext/>
        <w:keepLines/>
        <w:shd w:val="clear" w:color="auto" w:fill="auto"/>
        <w:spacing w:after="0" w:line="240" w:lineRule="auto"/>
        <w:ind w:firstLine="567"/>
        <w:rPr>
          <w:b/>
          <w:sz w:val="24"/>
          <w:szCs w:val="24"/>
          <w:lang w:val="uk-UA"/>
        </w:rPr>
      </w:pPr>
      <w:r w:rsidRPr="00FF76EE">
        <w:rPr>
          <w:b/>
          <w:sz w:val="24"/>
          <w:szCs w:val="24"/>
          <w:lang w:val="uk-UA"/>
        </w:rPr>
        <w:lastRenderedPageBreak/>
        <w:t>ЗАГАЛЬНА ІНФОРМАЦІЯ</w:t>
      </w:r>
      <w:bookmarkEnd w:id="1"/>
      <w:r>
        <w:rPr>
          <w:b/>
          <w:sz w:val="24"/>
          <w:szCs w:val="24"/>
          <w:lang w:val="uk-UA"/>
        </w:rPr>
        <w:t xml:space="preserve"> ПРО </w:t>
      </w:r>
      <w:r w:rsidRPr="009B29B9">
        <w:rPr>
          <w:b/>
          <w:sz w:val="24"/>
          <w:szCs w:val="24"/>
          <w:lang w:val="uk-UA"/>
        </w:rPr>
        <w:t>ПРОГРАМУ ГОРИЗОНТ 2020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"Горизонт 2020" є вже восьмою рамковою програмою ЄС з наукових досліджень та інновацій.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Перша рамкова програма була започаткована в 1984 році на п'ять років із скромним бюджетом - 3,75 мільярда євро.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 xml:space="preserve">Діюча з січня 2014 року програма "Горизонт 2020" є найбільшою транснаціональною програмою з наукових досліджень та інновацій. Бюджет програми (близько 80 </w:t>
      </w:r>
      <w:proofErr w:type="spellStart"/>
      <w:r w:rsidRPr="00FF76EE">
        <w:rPr>
          <w:sz w:val="24"/>
          <w:szCs w:val="24"/>
          <w:lang w:val="uk-UA"/>
        </w:rPr>
        <w:t>млрд</w:t>
      </w:r>
      <w:proofErr w:type="spellEnd"/>
      <w:r w:rsidRPr="00FF76EE">
        <w:rPr>
          <w:sz w:val="24"/>
          <w:szCs w:val="24"/>
          <w:lang w:val="uk-UA"/>
        </w:rPr>
        <w:t xml:space="preserve"> євро) робить її однією з найдорожчих програм державної підтримки науки в світі.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20 березня 2015 р. підписана Угода між Україною і Європейським Союзом про участь України у Рамковій програмі ЄС з наукових досліджень та інновацій «Горизонт 2020», яка має ряд відмінностей від Сьомої Рамкової програми і які необхідно враховувати при підготовці проектних пропозицій.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20" w:firstLine="567"/>
        <w:rPr>
          <w:sz w:val="24"/>
          <w:szCs w:val="24"/>
        </w:rPr>
      </w:pPr>
      <w:r w:rsidRPr="00FF76EE">
        <w:rPr>
          <w:sz w:val="24"/>
          <w:szCs w:val="24"/>
          <w:lang w:val="uk-UA"/>
        </w:rPr>
        <w:t>Згідно з досягнутими домовленостями Україна отримала безпрецедентно високу 95% знижку на фінансовий внесок, який в результаті склав 35 579 782,09 євро за наступні 2015-2020 рр. при тому, що його сплата почалася з 2016 р. За дворічний період відсоток успішних проектів склав 9%, підтримано 69 проектів та близько 200 інституцій на загальну суму близько 17 млн. Це більше ніж Україна внесла (близько 12,5 млн. євро) за цей самий період 2016-2017 років. В новому статусі Україна отримала декілька переваг. Головна перевага - можливість впливати на тематику конкурсів, на які приймаються грантові заявки. Українські експерти тепер можуть брати участь у роботі дорадчих груп і програмних комітетів Єврокомісії - пропонувати європейським колегам тематику майбутніх конкурсів «Горизонту» і впливати на те, під яку тематику досліджень будуть формуватися бюджети програми. Друга перевага - більше можливостей пошуку закордонних партнерів. Щоб подавати заявки на конкурси «Горизонту-2020», університетам та науково-дослідним установам необхідно формувати консорціуми з щонайменше трьох юридичних осіб із різних країн. Українським ученим буде легше знаходити партнерів: вони зможуть входити до консорціумів як одна з трьох обов'язкових (а не «додаткових») сторін. Третя перевага пов’язана з другою і полягає в тому, що розподіл фінансування всередині консорціуму все ж таки залежить від статусу партнера: на відміну від третіх країн (які, будемо відверті, отримують кошти за залишковим принципом) обов’язкові партнери фінансуються на рівні європейських. Окрім того, українські науковці зможуть подавати більше грантових заявок: треті країни допускаються до участі не в усіх конкурсах програми, натомість асоційовані члени конкурують нарівні з державами Євросоюзу.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Пріоритети програми «Горизонт 2020» - сприяння фундаментальним науковим дослідженням з метою подальшого їх на ринковий простір, підвищення конкурентоспроможності виробництва, нанотехнологій, нового матеріалознавства, біотехнологій та космічної галузі, а також пошук відповідей на найбільш гострі соціальні виклики в сфері охорони здоров'я, екології та демографії.</w:t>
      </w:r>
    </w:p>
    <w:p w:rsidR="00FF76EE" w:rsidRPr="00FF76EE" w:rsidRDefault="00767BD7" w:rsidP="00FF76EE">
      <w:pPr>
        <w:pStyle w:val="41"/>
        <w:shd w:val="clear" w:color="auto" w:fill="auto"/>
        <w:spacing w:before="0"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Програма Горизонт 2020</w:t>
      </w:r>
      <w:r w:rsidR="00FF76EE" w:rsidRPr="00FF76EE">
        <w:rPr>
          <w:sz w:val="24"/>
          <w:szCs w:val="24"/>
          <w:lang w:val="uk-UA"/>
        </w:rPr>
        <w:t xml:space="preserve"> носить міждисциплінарний характер та має ряд нових рис:</w:t>
      </w:r>
    </w:p>
    <w:p w:rsidR="00FF76EE" w:rsidRPr="00FF76EE" w:rsidRDefault="00FF76EE" w:rsidP="00FF76EE">
      <w:pPr>
        <w:pStyle w:val="41"/>
        <w:numPr>
          <w:ilvl w:val="0"/>
          <w:numId w:val="14"/>
        </w:numPr>
        <w:shd w:val="clear" w:color="auto" w:fill="auto"/>
        <w:tabs>
          <w:tab w:val="left" w:pos="1191"/>
        </w:tabs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більш виражений акцент на стратегічний підхід до планування досліджень та інновацій, із розробкою плану спільних дій та методів керівництва, що відповідають нормативно-правовій базі, при цьому виходячи за межі традиційних галузевих програм розвитку;</w:t>
      </w:r>
    </w:p>
    <w:p w:rsidR="00FF76EE" w:rsidRPr="00FF76EE" w:rsidRDefault="00FF76EE" w:rsidP="00FF76EE">
      <w:pPr>
        <w:pStyle w:val="41"/>
        <w:numPr>
          <w:ilvl w:val="0"/>
          <w:numId w:val="14"/>
        </w:numPr>
        <w:shd w:val="clear" w:color="auto" w:fill="auto"/>
        <w:tabs>
          <w:tab w:val="left" w:pos="1206"/>
        </w:tabs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 xml:space="preserve">значне спрощення фінансування через спрощення структури програми, розробку одного набору правил; скорочення бюрократичної тяганини завдяки простій схемі відшкодування витрат, запровадженню «єдиного підходу» для учасників, рідшому </w:t>
      </w:r>
      <w:r w:rsidRPr="00FF76EE">
        <w:rPr>
          <w:sz w:val="24"/>
          <w:szCs w:val="24"/>
          <w:lang w:val="uk-UA"/>
        </w:rPr>
        <w:lastRenderedPageBreak/>
        <w:t>проведенню перевірок та аудитів із загальною метою - зменшити середній термін на видачу гранту до 100 днів;</w:t>
      </w:r>
    </w:p>
    <w:p w:rsidR="00FF76EE" w:rsidRPr="00FF76EE" w:rsidRDefault="00FF76EE" w:rsidP="00FF76EE">
      <w:pPr>
        <w:pStyle w:val="41"/>
        <w:numPr>
          <w:ilvl w:val="0"/>
          <w:numId w:val="14"/>
        </w:numPr>
        <w:shd w:val="clear" w:color="auto" w:fill="auto"/>
        <w:tabs>
          <w:tab w:val="left" w:pos="1321"/>
        </w:tabs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інтеграція досліджень та іннова</w:t>
      </w:r>
      <w:r w:rsidR="00767BD7">
        <w:rPr>
          <w:sz w:val="24"/>
          <w:szCs w:val="24"/>
          <w:lang w:val="uk-UA"/>
        </w:rPr>
        <w:t>цій завдяки забезпеченню безпе</w:t>
      </w:r>
      <w:r w:rsidRPr="00FF76EE">
        <w:rPr>
          <w:sz w:val="24"/>
          <w:szCs w:val="24"/>
          <w:lang w:val="uk-UA"/>
        </w:rPr>
        <w:t>решкодного й узгодженого фінансування від ідеї до виходу на ринок;</w:t>
      </w:r>
    </w:p>
    <w:p w:rsidR="00FF76EE" w:rsidRPr="00FF76EE" w:rsidRDefault="00FF76EE" w:rsidP="00FF76EE">
      <w:pPr>
        <w:pStyle w:val="41"/>
        <w:numPr>
          <w:ilvl w:val="0"/>
          <w:numId w:val="14"/>
        </w:numPr>
        <w:shd w:val="clear" w:color="auto" w:fill="auto"/>
        <w:tabs>
          <w:tab w:val="left" w:pos="1220"/>
        </w:tabs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створення кращих можливостей новим учасникам і молодим перспективним науковцям для просування своїх ідей та одержання фінансування;</w:t>
      </w:r>
    </w:p>
    <w:p w:rsidR="00FF76EE" w:rsidRPr="00FF76EE" w:rsidRDefault="00FF76EE" w:rsidP="00FF76EE">
      <w:pPr>
        <w:pStyle w:val="41"/>
        <w:numPr>
          <w:ilvl w:val="0"/>
          <w:numId w:val="14"/>
        </w:numPr>
        <w:shd w:val="clear" w:color="auto" w:fill="auto"/>
        <w:tabs>
          <w:tab w:val="left" w:pos="1201"/>
        </w:tabs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 xml:space="preserve">збільшення підтримки інноваційної діяльності та діяльності, </w:t>
      </w:r>
      <w:proofErr w:type="spellStart"/>
      <w:r w:rsidRPr="00FF76EE">
        <w:rPr>
          <w:sz w:val="24"/>
          <w:szCs w:val="24"/>
          <w:lang w:val="uk-UA"/>
        </w:rPr>
        <w:t>на-</w:t>
      </w:r>
      <w:proofErr w:type="spellEnd"/>
      <w:r w:rsidRPr="00FF76EE">
        <w:rPr>
          <w:sz w:val="24"/>
          <w:szCs w:val="24"/>
          <w:lang w:val="uk-UA"/>
        </w:rPr>
        <w:t xml:space="preserve"> </w:t>
      </w:r>
      <w:proofErr w:type="spellStart"/>
      <w:r w:rsidRPr="00FF76EE">
        <w:rPr>
          <w:sz w:val="24"/>
          <w:szCs w:val="24"/>
          <w:lang w:val="uk-UA"/>
        </w:rPr>
        <w:t>ближеної</w:t>
      </w:r>
      <w:proofErr w:type="spellEnd"/>
      <w:r w:rsidRPr="00FF76EE">
        <w:rPr>
          <w:sz w:val="24"/>
          <w:szCs w:val="24"/>
          <w:lang w:val="uk-UA"/>
        </w:rPr>
        <w:t xml:space="preserve"> до ринку, що веде до прямого економічного стимулювання;</w:t>
      </w:r>
    </w:p>
    <w:p w:rsidR="00FF76EE" w:rsidRPr="00FF76EE" w:rsidRDefault="00FF76EE" w:rsidP="00FF76EE">
      <w:pPr>
        <w:pStyle w:val="41"/>
        <w:numPr>
          <w:ilvl w:val="0"/>
          <w:numId w:val="14"/>
        </w:numPr>
        <w:shd w:val="clear" w:color="auto" w:fill="auto"/>
        <w:tabs>
          <w:tab w:val="left" w:pos="1210"/>
        </w:tabs>
        <w:spacing w:before="0" w:line="240" w:lineRule="auto"/>
        <w:ind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зосередження на розвитку бізнес-можливостей з акцентом на «суспільні виклики».</w:t>
      </w:r>
    </w:p>
    <w:p w:rsidR="00FF76EE" w:rsidRDefault="00FF76EE" w:rsidP="00FF76EE">
      <w:pPr>
        <w:pStyle w:val="20"/>
        <w:keepNext/>
        <w:keepLines/>
        <w:shd w:val="clear" w:color="auto" w:fill="auto"/>
        <w:spacing w:after="0" w:line="240" w:lineRule="auto"/>
        <w:ind w:firstLine="567"/>
        <w:rPr>
          <w:b/>
          <w:sz w:val="24"/>
          <w:szCs w:val="24"/>
          <w:lang w:val="uk-UA"/>
        </w:rPr>
      </w:pPr>
      <w:bookmarkStart w:id="2" w:name="bookmark1"/>
    </w:p>
    <w:p w:rsidR="00FF76EE" w:rsidRPr="00FF76EE" w:rsidRDefault="00FF76EE" w:rsidP="00FF76EE">
      <w:pPr>
        <w:pStyle w:val="20"/>
        <w:keepNext/>
        <w:keepLines/>
        <w:shd w:val="clear" w:color="auto" w:fill="auto"/>
        <w:spacing w:after="0" w:line="240" w:lineRule="auto"/>
        <w:ind w:firstLine="567"/>
        <w:rPr>
          <w:b/>
          <w:sz w:val="24"/>
          <w:szCs w:val="24"/>
          <w:lang w:val="uk-UA"/>
        </w:rPr>
      </w:pPr>
      <w:r w:rsidRPr="00FF76EE">
        <w:rPr>
          <w:b/>
          <w:sz w:val="24"/>
          <w:szCs w:val="24"/>
          <w:lang w:val="uk-UA"/>
        </w:rPr>
        <w:t>Структура програми</w:t>
      </w:r>
      <w:bookmarkEnd w:id="2"/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220" w:firstLine="567"/>
        <w:jc w:val="left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 xml:space="preserve">Програма Горизонт 2020 зосереджує фінансування на трьох різних, але </w:t>
      </w:r>
      <w:proofErr w:type="spellStart"/>
      <w:r w:rsidRPr="00FF76EE">
        <w:rPr>
          <w:sz w:val="24"/>
          <w:szCs w:val="24"/>
          <w:lang w:val="uk-UA"/>
        </w:rPr>
        <w:t>доповнюючих</w:t>
      </w:r>
      <w:proofErr w:type="spellEnd"/>
      <w:r w:rsidRPr="00FF76EE">
        <w:rPr>
          <w:sz w:val="24"/>
          <w:szCs w:val="24"/>
          <w:lang w:val="uk-UA"/>
        </w:rPr>
        <w:t xml:space="preserve"> один одного, ключових напрямах:</w:t>
      </w:r>
    </w:p>
    <w:p w:rsidR="00FF76EE" w:rsidRPr="00FF76EE" w:rsidRDefault="00FF76EE" w:rsidP="00FF76EE">
      <w:pPr>
        <w:pStyle w:val="41"/>
        <w:numPr>
          <w:ilvl w:val="1"/>
          <w:numId w:val="14"/>
        </w:numPr>
        <w:shd w:val="clear" w:color="auto" w:fill="auto"/>
        <w:tabs>
          <w:tab w:val="left" w:pos="1111"/>
        </w:tabs>
        <w:spacing w:before="0" w:line="240" w:lineRule="auto"/>
        <w:ind w:firstLine="567"/>
        <w:jc w:val="left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Відмінна наука.</w:t>
      </w:r>
    </w:p>
    <w:p w:rsidR="00FF76EE" w:rsidRPr="00FF76EE" w:rsidRDefault="00FF76EE" w:rsidP="00FF76EE">
      <w:pPr>
        <w:pStyle w:val="41"/>
        <w:numPr>
          <w:ilvl w:val="1"/>
          <w:numId w:val="14"/>
        </w:numPr>
        <w:shd w:val="clear" w:color="auto" w:fill="auto"/>
        <w:tabs>
          <w:tab w:val="left" w:pos="1135"/>
        </w:tabs>
        <w:spacing w:before="0" w:line="240" w:lineRule="auto"/>
        <w:ind w:firstLine="567"/>
        <w:jc w:val="left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Промислове лідерство.</w:t>
      </w:r>
    </w:p>
    <w:p w:rsidR="00FF76EE" w:rsidRPr="00FF76EE" w:rsidRDefault="00FF76EE" w:rsidP="00FF76EE">
      <w:pPr>
        <w:pStyle w:val="41"/>
        <w:numPr>
          <w:ilvl w:val="1"/>
          <w:numId w:val="14"/>
        </w:numPr>
        <w:shd w:val="clear" w:color="auto" w:fill="auto"/>
        <w:tabs>
          <w:tab w:val="left" w:pos="1147"/>
        </w:tabs>
        <w:spacing w:before="0" w:line="240" w:lineRule="auto"/>
        <w:ind w:right="220" w:firstLine="567"/>
        <w:jc w:val="left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Суспільні виклики. Інші напрями програми:</w:t>
      </w:r>
    </w:p>
    <w:p w:rsidR="00FF76EE" w:rsidRPr="00FF76EE" w:rsidRDefault="00FF76EE" w:rsidP="00FF76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FF76EE" w:rsidRPr="00FF76EE" w:rsidRDefault="00FF76EE" w:rsidP="00FF76E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76EE">
        <w:rPr>
          <w:rFonts w:ascii="Times New Roman" w:hAnsi="Times New Roman" w:cs="Times New Roman"/>
          <w:b/>
          <w:sz w:val="24"/>
          <w:szCs w:val="24"/>
          <w:lang w:val="uk-UA"/>
        </w:rPr>
        <w:t>І. Відмінна наука</w:t>
      </w:r>
    </w:p>
    <w:p w:rsidR="00FF76EE" w:rsidRPr="00FF76EE" w:rsidRDefault="00FF76EE" w:rsidP="00FF76EE">
      <w:pPr>
        <w:spacing w:after="0" w:line="240" w:lineRule="auto"/>
        <w:ind w:right="20" w:firstLine="567"/>
        <w:rPr>
          <w:rStyle w:val="60"/>
          <w:rFonts w:eastAsiaTheme="minorEastAsia"/>
          <w:b w:val="0"/>
          <w:sz w:val="24"/>
          <w:szCs w:val="24"/>
          <w:lang w:val="uk-UA"/>
        </w:rPr>
      </w:pPr>
      <w:r w:rsidRPr="00FF76EE">
        <w:rPr>
          <w:rStyle w:val="60"/>
          <w:rFonts w:eastAsiaTheme="minorEastAsia"/>
          <w:b w:val="0"/>
          <w:sz w:val="24"/>
          <w:szCs w:val="24"/>
          <w:lang w:val="uk-UA"/>
        </w:rPr>
        <w:t>В основі пріоритету «Відмінна наука» лежить розуміння того, що:</w:t>
      </w:r>
    </w:p>
    <w:p w:rsidR="00FF76EE" w:rsidRPr="00FF76EE" w:rsidRDefault="00FF76EE" w:rsidP="00FF76EE">
      <w:pPr>
        <w:spacing w:after="0" w:line="240" w:lineRule="auto"/>
        <w:ind w:right="2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FF76EE">
        <w:rPr>
          <w:rFonts w:ascii="Times New Roman" w:hAnsi="Times New Roman" w:cs="Times New Roman"/>
          <w:sz w:val="24"/>
          <w:szCs w:val="24"/>
          <w:lang w:val="uk-UA"/>
        </w:rPr>
        <w:t>1) основу майбутнього промислового лідерства складає конкурентоспроможна наука, у тому числі фундаментальні дослідження та дослідження з високою долею ризику.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 xml:space="preserve">За результатами конкурсу «Європейська науково-дослідницька рада» фінансування буде надаватися з метою підтримки найбільш талановитих і креативних осіб та груп, які займаються передовими науковими дослідженнями. За конкурсом «Майбутні та новітні технології» </w:t>
      </w:r>
      <w:proofErr w:type="spellStart"/>
      <w:r w:rsidRPr="00FF76EE">
        <w:rPr>
          <w:sz w:val="24"/>
          <w:szCs w:val="24"/>
          <w:lang w:val="uk-UA"/>
        </w:rPr>
        <w:t>фінансуваня</w:t>
      </w:r>
      <w:proofErr w:type="spellEnd"/>
      <w:r w:rsidRPr="00FF76EE">
        <w:rPr>
          <w:sz w:val="24"/>
          <w:szCs w:val="24"/>
          <w:lang w:val="uk-UA"/>
        </w:rPr>
        <w:t xml:space="preserve"> здійснюватиметься для налагодження співпраці і для відкриття нових та перспективних галузей наукових досліджень і інновацій;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rStyle w:val="ae"/>
          <w:b w:val="0"/>
          <w:sz w:val="24"/>
          <w:szCs w:val="24"/>
          <w:lang w:val="uk-UA"/>
        </w:rPr>
        <w:t>2) для Євросоюзу виключно важливі питання виховання, вдосконалення та збереження власних наукових кадрів, а також залучення фахівців з інших країн</w:t>
      </w:r>
      <w:r w:rsidRPr="00FF76EE">
        <w:rPr>
          <w:sz w:val="24"/>
          <w:szCs w:val="24"/>
          <w:lang w:val="uk-UA"/>
        </w:rPr>
        <w:t xml:space="preserve"> (Програма Марії </w:t>
      </w:r>
      <w:proofErr w:type="spellStart"/>
      <w:r w:rsidRPr="00FF76EE">
        <w:rPr>
          <w:sz w:val="24"/>
          <w:szCs w:val="24"/>
          <w:lang w:val="uk-UA"/>
        </w:rPr>
        <w:t>Склодовської-Кюрі</w:t>
      </w:r>
      <w:proofErr w:type="spellEnd"/>
      <w:r w:rsidRPr="00FF76EE">
        <w:rPr>
          <w:sz w:val="24"/>
          <w:szCs w:val="24"/>
          <w:lang w:val="uk-UA"/>
        </w:rPr>
        <w:t>. Фінансування для навчання молодих вчених, підтримка міжнародної та міжгалузевої мобільності, розвиток кар'єри дослідників протягом усього професійного життя;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20" w:firstLine="567"/>
        <w:rPr>
          <w:sz w:val="24"/>
          <w:szCs w:val="24"/>
          <w:lang w:val="uk-UA"/>
        </w:rPr>
      </w:pPr>
      <w:r w:rsidRPr="00FF76EE">
        <w:rPr>
          <w:rStyle w:val="ae"/>
          <w:b w:val="0"/>
          <w:sz w:val="24"/>
          <w:szCs w:val="24"/>
          <w:lang w:val="uk-UA"/>
        </w:rPr>
        <w:t>3) для цього потрібна першокласна наукова інфраструктура, яку необхідно раціонально використовувати</w:t>
      </w:r>
      <w:r w:rsidRPr="00FF76EE">
        <w:rPr>
          <w:sz w:val="24"/>
          <w:szCs w:val="24"/>
          <w:lang w:val="uk-UA"/>
        </w:rPr>
        <w:t xml:space="preserve"> (включаючи електронну інфраструктуру), до якої матимуть доступ усі науковці в Європі та за її межами (розділ «Європейська наукова інфраструктура».</w:t>
      </w:r>
    </w:p>
    <w:p w:rsidR="00FF76EE" w:rsidRDefault="00FF76EE" w:rsidP="00FF76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76EE" w:rsidRPr="00FF76EE" w:rsidRDefault="00FF76EE" w:rsidP="00FF76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76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Промислове лідерство 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1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Цей напрям має три складові: 1. Лідерство у сфері ефективних технологій і технологій виробничого призначення. 2. Доступ до фінансування ризиків, метою якого є регулювання недержавних коштів та венчурних капіталів. 3. Інноваційна діяльність серед малих та середніх підприємств.</w:t>
      </w:r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Логіка формування пріоритету «Промислове лідерство» обумовлена необхідністю:</w:t>
      </w:r>
    </w:p>
    <w:p w:rsidR="00FF76EE" w:rsidRPr="00FF76EE" w:rsidRDefault="00FF76EE" w:rsidP="00FF76EE">
      <w:pPr>
        <w:pStyle w:val="41"/>
        <w:shd w:val="clear" w:color="auto" w:fill="auto"/>
        <w:tabs>
          <w:tab w:val="left" w:pos="1070"/>
        </w:tabs>
        <w:spacing w:before="0" w:line="240" w:lineRule="auto"/>
        <w:ind w:right="1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а)</w:t>
      </w:r>
      <w:r w:rsidRPr="00FF76EE">
        <w:rPr>
          <w:sz w:val="24"/>
          <w:szCs w:val="24"/>
          <w:lang w:val="uk-UA"/>
        </w:rPr>
        <w:tab/>
        <w:t xml:space="preserve">інвестувати в ключові технології - інформаційні та комунікаційні технології, </w:t>
      </w:r>
      <w:proofErr w:type="spellStart"/>
      <w:r w:rsidRPr="00FF76EE">
        <w:rPr>
          <w:sz w:val="24"/>
          <w:szCs w:val="24"/>
          <w:lang w:val="uk-UA"/>
        </w:rPr>
        <w:t>нано-</w:t>
      </w:r>
      <w:proofErr w:type="spellEnd"/>
      <w:r w:rsidRPr="00FF76EE">
        <w:rPr>
          <w:sz w:val="24"/>
          <w:szCs w:val="24"/>
          <w:lang w:val="uk-UA"/>
        </w:rPr>
        <w:t xml:space="preserve"> та біотехнології, матеріали, виробничі процеси, космос (розділ «Лідерство в промислових технологіях»);</w:t>
      </w:r>
    </w:p>
    <w:p w:rsidR="00FF76EE" w:rsidRPr="00FF76EE" w:rsidRDefault="00FF76EE" w:rsidP="00FF76EE">
      <w:pPr>
        <w:pStyle w:val="41"/>
        <w:shd w:val="clear" w:color="auto" w:fill="auto"/>
        <w:tabs>
          <w:tab w:val="left" w:pos="960"/>
        </w:tabs>
        <w:spacing w:before="0" w:line="240" w:lineRule="auto"/>
        <w:ind w:right="1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б)</w:t>
      </w:r>
      <w:r w:rsidRPr="00FF76EE">
        <w:rPr>
          <w:sz w:val="24"/>
          <w:szCs w:val="24"/>
          <w:lang w:val="uk-UA"/>
        </w:rPr>
        <w:tab/>
        <w:t>залучати більше коштів приватного бізнесу для фінансування досліджень і розробок (розділ «Доступ до ризикового фінансування»);</w:t>
      </w:r>
    </w:p>
    <w:p w:rsidR="00FF76EE" w:rsidRPr="00FF76EE" w:rsidRDefault="00FF76EE" w:rsidP="00FF76EE">
      <w:pPr>
        <w:pStyle w:val="41"/>
        <w:shd w:val="clear" w:color="auto" w:fill="auto"/>
        <w:tabs>
          <w:tab w:val="left" w:pos="1018"/>
        </w:tabs>
        <w:spacing w:before="0" w:line="240" w:lineRule="auto"/>
        <w:ind w:right="12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lastRenderedPageBreak/>
        <w:t>в)</w:t>
      </w:r>
      <w:r w:rsidRPr="00FF76EE">
        <w:rPr>
          <w:sz w:val="24"/>
          <w:szCs w:val="24"/>
          <w:lang w:val="uk-UA"/>
        </w:rPr>
        <w:tab/>
        <w:t>збільшувати кількість інноваційних малих та середніх підприємств для стимулювання економічного зростання та створення нових робочих місць.</w:t>
      </w:r>
    </w:p>
    <w:p w:rsidR="00FF76EE" w:rsidRPr="00FF76EE" w:rsidRDefault="00FF76EE" w:rsidP="00FF76E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FF76EE" w:rsidRPr="00FF76EE" w:rsidRDefault="00FF76EE" w:rsidP="00FF76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" w:name="bookmark8"/>
      <w:r w:rsidRPr="00FF76EE">
        <w:rPr>
          <w:rStyle w:val="61"/>
          <w:rFonts w:eastAsiaTheme="minorEastAsia"/>
          <w:b/>
          <w:sz w:val="24"/>
          <w:szCs w:val="24"/>
          <w:lang w:val="uk-UA"/>
        </w:rPr>
        <w:t xml:space="preserve">ІІІ. </w:t>
      </w:r>
      <w:r w:rsidRPr="00FF76EE">
        <w:rPr>
          <w:rFonts w:ascii="Times New Roman" w:hAnsi="Times New Roman" w:cs="Times New Roman"/>
          <w:b/>
          <w:sz w:val="24"/>
          <w:szCs w:val="24"/>
          <w:lang w:val="uk-UA"/>
        </w:rPr>
        <w:t>Суспільні виклики</w:t>
      </w:r>
      <w:bookmarkEnd w:id="3"/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В основі пріоритету «Суспільні виклики» лежать:</w:t>
      </w:r>
    </w:p>
    <w:p w:rsidR="00FF76EE" w:rsidRPr="00FF76EE" w:rsidRDefault="00FF76EE" w:rsidP="00FF76EE">
      <w:pPr>
        <w:pStyle w:val="41"/>
        <w:shd w:val="clear" w:color="auto" w:fill="auto"/>
        <w:tabs>
          <w:tab w:val="left" w:pos="949"/>
        </w:tabs>
        <w:spacing w:before="0" w:line="240" w:lineRule="auto"/>
        <w:ind w:right="10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а)</w:t>
      </w:r>
      <w:r w:rsidRPr="00FF76EE">
        <w:rPr>
          <w:sz w:val="24"/>
          <w:szCs w:val="24"/>
          <w:lang w:val="uk-UA"/>
        </w:rPr>
        <w:tab/>
        <w:t>стурбованість громадян і політиків ЄС станом енергетики, клімату, доступністю і якістю охорони здоров'я, демографією, питаннями безпеки транспорту, безпеки особистості та ін., вирішити які без інновацій неможливо;</w:t>
      </w:r>
    </w:p>
    <w:p w:rsidR="00FF76EE" w:rsidRPr="00FF76EE" w:rsidRDefault="00FF76EE" w:rsidP="00FF76EE">
      <w:pPr>
        <w:pStyle w:val="41"/>
        <w:shd w:val="clear" w:color="auto" w:fill="auto"/>
        <w:tabs>
          <w:tab w:val="left" w:pos="1093"/>
        </w:tabs>
        <w:spacing w:before="0" w:line="240" w:lineRule="auto"/>
        <w:ind w:right="10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б)</w:t>
      </w:r>
      <w:r w:rsidRPr="00FF76EE">
        <w:rPr>
          <w:sz w:val="24"/>
          <w:szCs w:val="24"/>
          <w:lang w:val="uk-UA"/>
        </w:rPr>
        <w:tab/>
        <w:t>розуміння того, що проривні рішення цих проблем вимагають міжгалузевого співробітництва, у тому числі участі економістів і соціологів;</w:t>
      </w:r>
    </w:p>
    <w:p w:rsidR="00FF76EE" w:rsidRPr="00FF76EE" w:rsidRDefault="00FF76EE" w:rsidP="00FF76EE">
      <w:pPr>
        <w:pStyle w:val="41"/>
        <w:shd w:val="clear" w:color="auto" w:fill="auto"/>
        <w:tabs>
          <w:tab w:val="left" w:pos="978"/>
        </w:tabs>
        <w:spacing w:before="0" w:line="240" w:lineRule="auto"/>
        <w:ind w:right="10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в)</w:t>
      </w:r>
      <w:r w:rsidRPr="00FF76EE">
        <w:rPr>
          <w:sz w:val="24"/>
          <w:szCs w:val="24"/>
          <w:lang w:val="uk-UA"/>
        </w:rPr>
        <w:tab/>
        <w:t>необхідність тестування, демонстрації працездатності і масштабування багатообіцяючих рішень.</w:t>
      </w:r>
    </w:p>
    <w:p w:rsidR="00FF76EE" w:rsidRDefault="00FF76EE" w:rsidP="00FF76EE">
      <w:pPr>
        <w:pStyle w:val="20"/>
        <w:keepNext/>
        <w:keepLines/>
        <w:shd w:val="clear" w:color="auto" w:fill="auto"/>
        <w:spacing w:after="0" w:line="240" w:lineRule="auto"/>
        <w:ind w:firstLine="567"/>
        <w:rPr>
          <w:sz w:val="24"/>
          <w:szCs w:val="24"/>
          <w:lang w:val="uk-UA"/>
        </w:rPr>
      </w:pPr>
      <w:bookmarkStart w:id="4" w:name="bookmark10"/>
    </w:p>
    <w:p w:rsidR="00FF76EE" w:rsidRPr="00FF76EE" w:rsidRDefault="00FF76EE" w:rsidP="00FF76EE">
      <w:pPr>
        <w:pStyle w:val="20"/>
        <w:keepNext/>
        <w:keepLines/>
        <w:shd w:val="clear" w:color="auto" w:fill="auto"/>
        <w:spacing w:after="0" w:line="240" w:lineRule="auto"/>
        <w:ind w:firstLine="567"/>
        <w:rPr>
          <w:b/>
          <w:sz w:val="24"/>
          <w:szCs w:val="24"/>
          <w:lang w:val="uk-UA"/>
        </w:rPr>
      </w:pPr>
      <w:r w:rsidRPr="00FF76EE">
        <w:rPr>
          <w:b/>
          <w:sz w:val="24"/>
          <w:szCs w:val="24"/>
          <w:lang w:val="uk-UA"/>
        </w:rPr>
        <w:t xml:space="preserve">Як стати учасником програми </w:t>
      </w:r>
      <w:r w:rsidR="00767BD7">
        <w:rPr>
          <w:b/>
          <w:sz w:val="24"/>
          <w:szCs w:val="24"/>
          <w:lang w:val="uk-UA"/>
        </w:rPr>
        <w:t>Горизонт 2020</w:t>
      </w:r>
      <w:r w:rsidRPr="00FF76EE">
        <w:rPr>
          <w:b/>
          <w:sz w:val="24"/>
          <w:szCs w:val="24"/>
          <w:lang w:val="uk-UA"/>
        </w:rPr>
        <w:t>?</w:t>
      </w:r>
      <w:bookmarkEnd w:id="4"/>
    </w:p>
    <w:p w:rsidR="00FF76EE" w:rsidRPr="00FF76EE" w:rsidRDefault="00FF76EE" w:rsidP="00FF76EE">
      <w:pPr>
        <w:pStyle w:val="41"/>
        <w:shd w:val="clear" w:color="auto" w:fill="auto"/>
        <w:spacing w:before="0" w:line="240" w:lineRule="auto"/>
        <w:ind w:right="10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 xml:space="preserve">Учасником Програми може бути офіційно зареєстрована юридична особа, наприклад, наукова установа, університет, державна чи приватна компанія, підприємство, фірма, асоціація підприємств, громадська організація, міжнародна організація. В окремих випадках можуть брати участь і фізичні особи, науковці (наприклад, у програмі Марії </w:t>
      </w:r>
      <w:proofErr w:type="spellStart"/>
      <w:r w:rsidRPr="00FF76EE">
        <w:rPr>
          <w:sz w:val="24"/>
          <w:szCs w:val="24"/>
          <w:lang w:val="uk-UA"/>
        </w:rPr>
        <w:t>Склодовської-Кюрі</w:t>
      </w:r>
      <w:proofErr w:type="spellEnd"/>
      <w:r w:rsidRPr="00FF76EE">
        <w:rPr>
          <w:sz w:val="24"/>
          <w:szCs w:val="24"/>
          <w:lang w:val="uk-UA"/>
        </w:rPr>
        <w:t>).</w:t>
      </w:r>
    </w:p>
    <w:p w:rsidR="00FF76EE" w:rsidRPr="00FF76EE" w:rsidRDefault="00FF76EE" w:rsidP="00FF76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bookmark11"/>
      <w:r w:rsidRPr="00FF76EE">
        <w:rPr>
          <w:rFonts w:ascii="Times New Roman" w:hAnsi="Times New Roman" w:cs="Times New Roman"/>
          <w:sz w:val="24"/>
          <w:szCs w:val="24"/>
          <w:lang w:val="uk-UA"/>
        </w:rPr>
        <w:t>Умови участі:</w:t>
      </w:r>
      <w:bookmarkEnd w:id="5"/>
    </w:p>
    <w:p w:rsidR="00FF76EE" w:rsidRPr="00FF76EE" w:rsidRDefault="00FF76EE" w:rsidP="009369D3">
      <w:pPr>
        <w:pStyle w:val="41"/>
        <w:numPr>
          <w:ilvl w:val="0"/>
          <w:numId w:val="15"/>
        </w:numPr>
        <w:shd w:val="clear" w:color="auto" w:fill="auto"/>
        <w:tabs>
          <w:tab w:val="left" w:pos="1156"/>
        </w:tabs>
        <w:spacing w:before="0" w:line="240" w:lineRule="auto"/>
        <w:ind w:right="10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Як правило, проекти є партнерськими, тобто виконуються міжнародним консорціумом партнерів. Консорціум повинен налічувати як мінімум 3 організації з трьох різних країн ЄС або асоційованих країн - особливої групи «третіх» країн, учасники якої вносять фінансовий внесок до бюджету Програми.</w:t>
      </w:r>
    </w:p>
    <w:p w:rsidR="00FF76EE" w:rsidRPr="00FF76EE" w:rsidRDefault="00FF76EE" w:rsidP="00FF76EE">
      <w:pPr>
        <w:pStyle w:val="41"/>
        <w:numPr>
          <w:ilvl w:val="0"/>
          <w:numId w:val="15"/>
        </w:numPr>
        <w:shd w:val="clear" w:color="auto" w:fill="auto"/>
        <w:tabs>
          <w:tab w:val="left" w:pos="1118"/>
        </w:tabs>
        <w:spacing w:before="0" w:line="240" w:lineRule="auto"/>
        <w:ind w:right="10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Кожна з таких юридичних осіб повинна бути заснована в країні-учасниці ЄС або в асоційованій країні.</w:t>
      </w:r>
    </w:p>
    <w:p w:rsidR="00FF76EE" w:rsidRPr="00FF76EE" w:rsidRDefault="00FF76EE" w:rsidP="00FF76EE">
      <w:pPr>
        <w:pStyle w:val="41"/>
        <w:numPr>
          <w:ilvl w:val="0"/>
          <w:numId w:val="15"/>
        </w:numPr>
        <w:shd w:val="clear" w:color="auto" w:fill="auto"/>
        <w:tabs>
          <w:tab w:val="left" w:pos="1089"/>
        </w:tabs>
        <w:spacing w:before="0" w:line="240" w:lineRule="auto"/>
        <w:ind w:right="100"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Жодні дві з трьох юридичних осіб не можуть бути заснов</w:t>
      </w:r>
      <w:r w:rsidR="009369D3">
        <w:rPr>
          <w:sz w:val="24"/>
          <w:szCs w:val="24"/>
          <w:lang w:val="uk-UA"/>
        </w:rPr>
        <w:t>ані в одній і тій самій країні-</w:t>
      </w:r>
      <w:r w:rsidRPr="00FF76EE">
        <w:rPr>
          <w:sz w:val="24"/>
          <w:szCs w:val="24"/>
          <w:lang w:val="uk-UA"/>
        </w:rPr>
        <w:t>учасниці ЄС або в асоційованій країні. Але кількість учасників від однієї країни може бути більше, чим одна.</w:t>
      </w:r>
    </w:p>
    <w:p w:rsidR="00FF76EE" w:rsidRPr="00FF76EE" w:rsidRDefault="00FF76EE" w:rsidP="00FF76EE">
      <w:pPr>
        <w:pStyle w:val="41"/>
        <w:numPr>
          <w:ilvl w:val="0"/>
          <w:numId w:val="15"/>
        </w:numPr>
        <w:shd w:val="clear" w:color="auto" w:fill="auto"/>
        <w:tabs>
          <w:tab w:val="left" w:pos="1080"/>
        </w:tabs>
        <w:spacing w:before="0" w:line="240" w:lineRule="auto"/>
        <w:ind w:firstLine="567"/>
        <w:rPr>
          <w:sz w:val="24"/>
          <w:szCs w:val="24"/>
          <w:lang w:val="uk-UA"/>
        </w:rPr>
      </w:pPr>
      <w:r w:rsidRPr="00FF76EE">
        <w:rPr>
          <w:sz w:val="24"/>
          <w:szCs w:val="24"/>
          <w:lang w:val="uk-UA"/>
        </w:rPr>
        <w:t>Усі три юридичні особи повинні бути незалежними одна від одної. На практиці, консорціуми більш численні.</w:t>
      </w:r>
    </w:p>
    <w:p w:rsidR="00FF76EE" w:rsidRPr="006C4655" w:rsidRDefault="00FF76EE" w:rsidP="00FF76EE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FF76EE" w:rsidRPr="006C4655" w:rsidSect="009524C3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0D" w:rsidRDefault="00CF670D" w:rsidP="00362CD0">
      <w:pPr>
        <w:spacing w:after="0" w:line="240" w:lineRule="auto"/>
      </w:pPr>
      <w:r>
        <w:separator/>
      </w:r>
    </w:p>
  </w:endnote>
  <w:endnote w:type="continuationSeparator" w:id="0">
    <w:p w:rsidR="00CF670D" w:rsidRDefault="00CF670D" w:rsidP="0036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0D" w:rsidRDefault="00CF670D">
    <w:pPr>
      <w:pStyle w:val="a8"/>
    </w:pPr>
  </w:p>
  <w:p w:rsidR="00CF670D" w:rsidRPr="001F672B" w:rsidRDefault="00CF670D">
    <w:pPr>
      <w:pStyle w:val="a8"/>
      <w:rPr>
        <w:color w:val="17365D" w:themeColor="text2" w:themeShade="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0D" w:rsidRDefault="00CF670D" w:rsidP="00362CD0">
      <w:pPr>
        <w:spacing w:after="0" w:line="240" w:lineRule="auto"/>
      </w:pPr>
      <w:r>
        <w:separator/>
      </w:r>
    </w:p>
  </w:footnote>
  <w:footnote w:type="continuationSeparator" w:id="0">
    <w:p w:rsidR="00CF670D" w:rsidRDefault="00CF670D" w:rsidP="0036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0D" w:rsidRPr="001B2E9D" w:rsidRDefault="00CF670D" w:rsidP="001B2E9D">
    <w:pPr>
      <w:pStyle w:val="a6"/>
      <w:jc w:val="center"/>
      <w:rPr>
        <w:b/>
        <w:noProof/>
        <w:color w:val="0070C0"/>
        <w:sz w:val="24"/>
        <w:szCs w:val="24"/>
        <w:lang w:val="uk-UA"/>
      </w:rPr>
    </w:pPr>
    <w:r>
      <w:rPr>
        <w:b/>
        <w:noProof/>
        <w:color w:val="0070C0"/>
        <w:sz w:val="24"/>
        <w:szCs w:val="24"/>
      </w:rPr>
      <w:drawing>
        <wp:anchor distT="0" distB="0" distL="114300" distR="114300" simplePos="0" relativeHeight="251660288" behindDoc="0" locked="0" layoutInCell="1" allowOverlap="1" wp14:anchorId="0860203C" wp14:editId="6AC16580">
          <wp:simplePos x="0" y="0"/>
          <wp:positionH relativeFrom="margin">
            <wp:posOffset>65405</wp:posOffset>
          </wp:positionH>
          <wp:positionV relativeFrom="margin">
            <wp:posOffset>-1038225</wp:posOffset>
          </wp:positionV>
          <wp:extent cx="1868805" cy="1947545"/>
          <wp:effectExtent l="19050" t="0" r="0" b="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проекту Жана моне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23" t="5000" r="13021" b="16667"/>
                  <a:stretch/>
                </pic:blipFill>
                <pic:spPr bwMode="auto">
                  <a:xfrm>
                    <a:off x="0" y="0"/>
                    <a:ext cx="1868805" cy="194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noProof/>
        <w:color w:val="0070C0"/>
        <w:sz w:val="24"/>
        <w:szCs w:val="24"/>
        <w:lang w:val="uk-UA"/>
      </w:rPr>
      <w:t xml:space="preserve">                                </w:t>
    </w:r>
    <w:r>
      <w:rPr>
        <w:b/>
        <w:noProof/>
        <w:color w:val="0070C0"/>
        <w:sz w:val="24"/>
        <w:szCs w:val="24"/>
        <w:lang w:val="en-US"/>
      </w:rPr>
      <w:t xml:space="preserve">             </w:t>
    </w:r>
    <w:r>
      <w:rPr>
        <w:b/>
        <w:noProof/>
        <w:color w:val="0070C0"/>
        <w:sz w:val="24"/>
        <w:szCs w:val="24"/>
      </w:rPr>
      <w:drawing>
        <wp:inline distT="0" distB="0" distL="0" distR="0" wp14:anchorId="185FD930" wp14:editId="301BB951">
          <wp:extent cx="2866887" cy="817429"/>
          <wp:effectExtent l="1905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71" cy="820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color w:val="0070C0"/>
        <w:sz w:val="24"/>
        <w:szCs w:val="24"/>
        <w:lang w:val="uk-UA"/>
      </w:rPr>
      <w:t xml:space="preserve">   </w:t>
    </w:r>
    <w:r>
      <w:rPr>
        <w:b/>
        <w:noProof/>
        <w:color w:val="0070C0"/>
        <w:sz w:val="24"/>
        <w:szCs w:val="24"/>
        <w:lang w:val="en-US"/>
      </w:rPr>
      <w:t xml:space="preserve">    </w:t>
    </w:r>
    <w:r>
      <w:rPr>
        <w:b/>
        <w:noProof/>
        <w:color w:val="0070C0"/>
        <w:sz w:val="24"/>
        <w:szCs w:val="24"/>
        <w:lang w:val="uk-UA"/>
      </w:rPr>
      <w:t xml:space="preserve">        </w:t>
    </w:r>
  </w:p>
  <w:p w:rsidR="00CF670D" w:rsidRPr="00130696" w:rsidRDefault="00CF670D" w:rsidP="001B2E9D">
    <w:pPr>
      <w:pStyle w:val="a6"/>
      <w:rPr>
        <w:b/>
        <w:color w:val="0070C0"/>
        <w:sz w:val="24"/>
        <w:szCs w:val="24"/>
        <w:lang w:val="en-US"/>
      </w:rPr>
    </w:pPr>
    <w:r>
      <w:rPr>
        <w:b/>
        <w:color w:val="0070C0"/>
        <w:sz w:val="24"/>
        <w:szCs w:val="24"/>
        <w:lang w:val="en-U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849"/>
    <w:multiLevelType w:val="multilevel"/>
    <w:tmpl w:val="13503F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443769B"/>
    <w:multiLevelType w:val="multilevel"/>
    <w:tmpl w:val="7BC0EA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B623E33"/>
    <w:multiLevelType w:val="multilevel"/>
    <w:tmpl w:val="B19C5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761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5E26F5"/>
    <w:multiLevelType w:val="hybridMultilevel"/>
    <w:tmpl w:val="7144A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802F8"/>
    <w:multiLevelType w:val="multilevel"/>
    <w:tmpl w:val="8A5A1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2E663BB3"/>
    <w:multiLevelType w:val="multilevel"/>
    <w:tmpl w:val="EEAA98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2C1135"/>
    <w:multiLevelType w:val="hybridMultilevel"/>
    <w:tmpl w:val="BEEAA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C6D89"/>
    <w:multiLevelType w:val="hybridMultilevel"/>
    <w:tmpl w:val="CC4E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F14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586B0C"/>
    <w:multiLevelType w:val="hybridMultilevel"/>
    <w:tmpl w:val="A2FE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D7E3E"/>
    <w:multiLevelType w:val="multilevel"/>
    <w:tmpl w:val="2E06F0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B7837EA"/>
    <w:multiLevelType w:val="hybridMultilevel"/>
    <w:tmpl w:val="A246D720"/>
    <w:lvl w:ilvl="0" w:tplc="A5B6E29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9E4E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DA60D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9475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0C004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86BA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EA7B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D442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B2B3D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6CD316F7"/>
    <w:multiLevelType w:val="multilevel"/>
    <w:tmpl w:val="56A8C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E365746"/>
    <w:multiLevelType w:val="hybridMultilevel"/>
    <w:tmpl w:val="D6EC98F6"/>
    <w:lvl w:ilvl="0" w:tplc="7AB62B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71388"/>
    <w:multiLevelType w:val="hybridMultilevel"/>
    <w:tmpl w:val="F3AC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223F6"/>
    <w:multiLevelType w:val="hybridMultilevel"/>
    <w:tmpl w:val="00D6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77185"/>
    <w:multiLevelType w:val="hybridMultilevel"/>
    <w:tmpl w:val="F8AED8C2"/>
    <w:lvl w:ilvl="0" w:tplc="D114A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4"/>
  </w:num>
  <w:num w:numId="5">
    <w:abstractNumId w:val="17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14"/>
    <w:rsid w:val="000053AE"/>
    <w:rsid w:val="00007D33"/>
    <w:rsid w:val="0001430C"/>
    <w:rsid w:val="00015FC6"/>
    <w:rsid w:val="000478A8"/>
    <w:rsid w:val="0007217B"/>
    <w:rsid w:val="00073157"/>
    <w:rsid w:val="000A0781"/>
    <w:rsid w:val="000C034F"/>
    <w:rsid w:val="000C6C42"/>
    <w:rsid w:val="000D1A43"/>
    <w:rsid w:val="000D3980"/>
    <w:rsid w:val="000D45D8"/>
    <w:rsid w:val="000D49D0"/>
    <w:rsid w:val="000F5BF3"/>
    <w:rsid w:val="000F705E"/>
    <w:rsid w:val="00101405"/>
    <w:rsid w:val="00104817"/>
    <w:rsid w:val="00111854"/>
    <w:rsid w:val="00115E2A"/>
    <w:rsid w:val="001275AE"/>
    <w:rsid w:val="00130696"/>
    <w:rsid w:val="00132717"/>
    <w:rsid w:val="00142516"/>
    <w:rsid w:val="00143BC9"/>
    <w:rsid w:val="00144EEF"/>
    <w:rsid w:val="001500B7"/>
    <w:rsid w:val="00154CD8"/>
    <w:rsid w:val="00157317"/>
    <w:rsid w:val="00166F61"/>
    <w:rsid w:val="00170313"/>
    <w:rsid w:val="00185A36"/>
    <w:rsid w:val="00193E15"/>
    <w:rsid w:val="001A3964"/>
    <w:rsid w:val="001B2E9D"/>
    <w:rsid w:val="001B763C"/>
    <w:rsid w:val="001C736F"/>
    <w:rsid w:val="001E083A"/>
    <w:rsid w:val="001E0DAA"/>
    <w:rsid w:val="001E28D0"/>
    <w:rsid w:val="001F672B"/>
    <w:rsid w:val="00204B81"/>
    <w:rsid w:val="0021167A"/>
    <w:rsid w:val="00217CC5"/>
    <w:rsid w:val="00257FCD"/>
    <w:rsid w:val="00267539"/>
    <w:rsid w:val="00276585"/>
    <w:rsid w:val="00281F29"/>
    <w:rsid w:val="00283CDA"/>
    <w:rsid w:val="00284693"/>
    <w:rsid w:val="0028719B"/>
    <w:rsid w:val="00297F79"/>
    <w:rsid w:val="002A03E7"/>
    <w:rsid w:val="002A148D"/>
    <w:rsid w:val="002B2246"/>
    <w:rsid w:val="002D01AA"/>
    <w:rsid w:val="002D094D"/>
    <w:rsid w:val="00301806"/>
    <w:rsid w:val="00341665"/>
    <w:rsid w:val="0035645B"/>
    <w:rsid w:val="003608DE"/>
    <w:rsid w:val="00362CD0"/>
    <w:rsid w:val="00395993"/>
    <w:rsid w:val="00396254"/>
    <w:rsid w:val="00397419"/>
    <w:rsid w:val="003A2574"/>
    <w:rsid w:val="003B5072"/>
    <w:rsid w:val="003C6961"/>
    <w:rsid w:val="003E0668"/>
    <w:rsid w:val="00401FE5"/>
    <w:rsid w:val="004102B9"/>
    <w:rsid w:val="004340D9"/>
    <w:rsid w:val="00447673"/>
    <w:rsid w:val="0045297B"/>
    <w:rsid w:val="00454D96"/>
    <w:rsid w:val="00457863"/>
    <w:rsid w:val="004654F8"/>
    <w:rsid w:val="00465717"/>
    <w:rsid w:val="00472E03"/>
    <w:rsid w:val="00481A80"/>
    <w:rsid w:val="004B1BA5"/>
    <w:rsid w:val="004C2BD7"/>
    <w:rsid w:val="004D1500"/>
    <w:rsid w:val="004D66CE"/>
    <w:rsid w:val="00515425"/>
    <w:rsid w:val="00515CCE"/>
    <w:rsid w:val="00531000"/>
    <w:rsid w:val="00534D22"/>
    <w:rsid w:val="0053638A"/>
    <w:rsid w:val="00543255"/>
    <w:rsid w:val="00547057"/>
    <w:rsid w:val="0056576F"/>
    <w:rsid w:val="00567C3D"/>
    <w:rsid w:val="005811BA"/>
    <w:rsid w:val="00583FE1"/>
    <w:rsid w:val="00597F01"/>
    <w:rsid w:val="005A137E"/>
    <w:rsid w:val="005A35EB"/>
    <w:rsid w:val="005B2AFF"/>
    <w:rsid w:val="005D039B"/>
    <w:rsid w:val="005D23CD"/>
    <w:rsid w:val="005D6546"/>
    <w:rsid w:val="005E5D39"/>
    <w:rsid w:val="005F551E"/>
    <w:rsid w:val="00604640"/>
    <w:rsid w:val="0062416B"/>
    <w:rsid w:val="0063113F"/>
    <w:rsid w:val="006734A5"/>
    <w:rsid w:val="00675839"/>
    <w:rsid w:val="00681B82"/>
    <w:rsid w:val="006868DA"/>
    <w:rsid w:val="00697858"/>
    <w:rsid w:val="006B4F18"/>
    <w:rsid w:val="006B6C01"/>
    <w:rsid w:val="006C4655"/>
    <w:rsid w:val="006D5AD2"/>
    <w:rsid w:val="006E386B"/>
    <w:rsid w:val="006F4AC0"/>
    <w:rsid w:val="00705BE8"/>
    <w:rsid w:val="00717FAF"/>
    <w:rsid w:val="00736F8F"/>
    <w:rsid w:val="00753C86"/>
    <w:rsid w:val="007622FF"/>
    <w:rsid w:val="00767BD7"/>
    <w:rsid w:val="007740DD"/>
    <w:rsid w:val="00786256"/>
    <w:rsid w:val="007A238C"/>
    <w:rsid w:val="007A504F"/>
    <w:rsid w:val="007A5614"/>
    <w:rsid w:val="007B36CA"/>
    <w:rsid w:val="007B67CF"/>
    <w:rsid w:val="007E2715"/>
    <w:rsid w:val="007F2B66"/>
    <w:rsid w:val="00800684"/>
    <w:rsid w:val="00820260"/>
    <w:rsid w:val="00820A35"/>
    <w:rsid w:val="00820A76"/>
    <w:rsid w:val="00824978"/>
    <w:rsid w:val="008259DA"/>
    <w:rsid w:val="00827920"/>
    <w:rsid w:val="00835406"/>
    <w:rsid w:val="00843A79"/>
    <w:rsid w:val="00873E08"/>
    <w:rsid w:val="00894092"/>
    <w:rsid w:val="0089441C"/>
    <w:rsid w:val="008B222D"/>
    <w:rsid w:val="008C7A3C"/>
    <w:rsid w:val="008D5089"/>
    <w:rsid w:val="008D5C94"/>
    <w:rsid w:val="008E1D3D"/>
    <w:rsid w:val="008F550B"/>
    <w:rsid w:val="008F78D4"/>
    <w:rsid w:val="00906575"/>
    <w:rsid w:val="00907B7B"/>
    <w:rsid w:val="00922ADC"/>
    <w:rsid w:val="00930409"/>
    <w:rsid w:val="00934BCF"/>
    <w:rsid w:val="009369D3"/>
    <w:rsid w:val="009524C3"/>
    <w:rsid w:val="00957A11"/>
    <w:rsid w:val="00976E63"/>
    <w:rsid w:val="00994510"/>
    <w:rsid w:val="00996163"/>
    <w:rsid w:val="009972CF"/>
    <w:rsid w:val="009B29B9"/>
    <w:rsid w:val="009B495D"/>
    <w:rsid w:val="009B60D0"/>
    <w:rsid w:val="009E4D2D"/>
    <w:rsid w:val="009F129F"/>
    <w:rsid w:val="009F3EB7"/>
    <w:rsid w:val="00A02784"/>
    <w:rsid w:val="00A03394"/>
    <w:rsid w:val="00A07081"/>
    <w:rsid w:val="00A14BFF"/>
    <w:rsid w:val="00A23395"/>
    <w:rsid w:val="00A25FC1"/>
    <w:rsid w:val="00A3673E"/>
    <w:rsid w:val="00A373B3"/>
    <w:rsid w:val="00A64A69"/>
    <w:rsid w:val="00A90F14"/>
    <w:rsid w:val="00AC0C76"/>
    <w:rsid w:val="00AD6F5D"/>
    <w:rsid w:val="00AF0A78"/>
    <w:rsid w:val="00AF0D55"/>
    <w:rsid w:val="00AF1877"/>
    <w:rsid w:val="00AF57F1"/>
    <w:rsid w:val="00B25907"/>
    <w:rsid w:val="00B25A6B"/>
    <w:rsid w:val="00B34F19"/>
    <w:rsid w:val="00B77051"/>
    <w:rsid w:val="00B81688"/>
    <w:rsid w:val="00B853A5"/>
    <w:rsid w:val="00B96FD5"/>
    <w:rsid w:val="00BA5D9F"/>
    <w:rsid w:val="00BB22D6"/>
    <w:rsid w:val="00BB7640"/>
    <w:rsid w:val="00BF2DBC"/>
    <w:rsid w:val="00C20914"/>
    <w:rsid w:val="00C304F7"/>
    <w:rsid w:val="00C40762"/>
    <w:rsid w:val="00C42778"/>
    <w:rsid w:val="00C57210"/>
    <w:rsid w:val="00C57AEA"/>
    <w:rsid w:val="00C67DF1"/>
    <w:rsid w:val="00C70C25"/>
    <w:rsid w:val="00C7211F"/>
    <w:rsid w:val="00CB2F3A"/>
    <w:rsid w:val="00CD2866"/>
    <w:rsid w:val="00CD60BA"/>
    <w:rsid w:val="00CD6A8C"/>
    <w:rsid w:val="00CE4ED2"/>
    <w:rsid w:val="00CF670D"/>
    <w:rsid w:val="00D20A45"/>
    <w:rsid w:val="00D63E89"/>
    <w:rsid w:val="00D7572A"/>
    <w:rsid w:val="00DB18CF"/>
    <w:rsid w:val="00DD7D02"/>
    <w:rsid w:val="00DE0A27"/>
    <w:rsid w:val="00E04D76"/>
    <w:rsid w:val="00E311F9"/>
    <w:rsid w:val="00E50D01"/>
    <w:rsid w:val="00E53988"/>
    <w:rsid w:val="00E57BC0"/>
    <w:rsid w:val="00E71EF3"/>
    <w:rsid w:val="00E93A90"/>
    <w:rsid w:val="00E96C28"/>
    <w:rsid w:val="00EB6754"/>
    <w:rsid w:val="00EC2990"/>
    <w:rsid w:val="00ED0F7B"/>
    <w:rsid w:val="00ED42FB"/>
    <w:rsid w:val="00ED5FDA"/>
    <w:rsid w:val="00EF45F5"/>
    <w:rsid w:val="00F00AB5"/>
    <w:rsid w:val="00F10453"/>
    <w:rsid w:val="00F16F62"/>
    <w:rsid w:val="00F2172D"/>
    <w:rsid w:val="00F27CB6"/>
    <w:rsid w:val="00F36AC0"/>
    <w:rsid w:val="00F47591"/>
    <w:rsid w:val="00F64504"/>
    <w:rsid w:val="00F73B08"/>
    <w:rsid w:val="00F74BE0"/>
    <w:rsid w:val="00F97408"/>
    <w:rsid w:val="00FC1C64"/>
    <w:rsid w:val="00FC7F79"/>
    <w:rsid w:val="00FD113E"/>
    <w:rsid w:val="00FE10E2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4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9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3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3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CD0"/>
  </w:style>
  <w:style w:type="paragraph" w:styleId="a8">
    <w:name w:val="footer"/>
    <w:basedOn w:val="a"/>
    <w:link w:val="a9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CD0"/>
  </w:style>
  <w:style w:type="paragraph" w:styleId="aa">
    <w:name w:val="No Spacing"/>
    <w:link w:val="ab"/>
    <w:uiPriority w:val="1"/>
    <w:qFormat/>
    <w:rsid w:val="001B2E9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B2E9D"/>
  </w:style>
  <w:style w:type="character" w:styleId="ac">
    <w:name w:val="Hyperlink"/>
    <w:basedOn w:val="a0"/>
    <w:uiPriority w:val="99"/>
    <w:unhideWhenUsed/>
    <w:rsid w:val="00583FE1"/>
    <w:rPr>
      <w:color w:val="0000FF"/>
      <w:u w:val="single"/>
    </w:rPr>
  </w:style>
  <w:style w:type="character" w:customStyle="1" w:styleId="2">
    <w:name w:val="Заголовок №2_"/>
    <w:basedOn w:val="a0"/>
    <w:link w:val="20"/>
    <w:rsid w:val="00FF76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Основной текст_"/>
    <w:basedOn w:val="a0"/>
    <w:link w:val="41"/>
    <w:rsid w:val="00FF76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 + Не полужирный"/>
    <w:basedOn w:val="6"/>
    <w:rsid w:val="00FF76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d"/>
    <w:rsid w:val="00FF76E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"/>
    <w:basedOn w:val="6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rsid w:val="00FF76EE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41"/>
    <w:basedOn w:val="a"/>
    <w:link w:val="ad"/>
    <w:rsid w:val="00FF76EE"/>
    <w:pPr>
      <w:shd w:val="clear" w:color="auto" w:fill="FFFFFF"/>
      <w:spacing w:before="480" w:after="0" w:line="317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D49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9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F3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3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CD0"/>
  </w:style>
  <w:style w:type="paragraph" w:styleId="a8">
    <w:name w:val="footer"/>
    <w:basedOn w:val="a"/>
    <w:link w:val="a9"/>
    <w:uiPriority w:val="99"/>
    <w:unhideWhenUsed/>
    <w:rsid w:val="0036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CD0"/>
  </w:style>
  <w:style w:type="paragraph" w:styleId="aa">
    <w:name w:val="No Spacing"/>
    <w:link w:val="ab"/>
    <w:uiPriority w:val="1"/>
    <w:qFormat/>
    <w:rsid w:val="001B2E9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B2E9D"/>
  </w:style>
  <w:style w:type="character" w:styleId="ac">
    <w:name w:val="Hyperlink"/>
    <w:basedOn w:val="a0"/>
    <w:uiPriority w:val="99"/>
    <w:unhideWhenUsed/>
    <w:rsid w:val="00583FE1"/>
    <w:rPr>
      <w:color w:val="0000FF"/>
      <w:u w:val="single"/>
    </w:rPr>
  </w:style>
  <w:style w:type="character" w:customStyle="1" w:styleId="2">
    <w:name w:val="Заголовок №2_"/>
    <w:basedOn w:val="a0"/>
    <w:link w:val="20"/>
    <w:rsid w:val="00FF76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Основной текст_"/>
    <w:basedOn w:val="a0"/>
    <w:link w:val="41"/>
    <w:rsid w:val="00FF76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 + Не полужирный"/>
    <w:basedOn w:val="6"/>
    <w:rsid w:val="00FF76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d"/>
    <w:rsid w:val="00FF76E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"/>
    <w:basedOn w:val="6"/>
    <w:rsid w:val="00FF76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rsid w:val="00FF76EE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Основной текст41"/>
    <w:basedOn w:val="a"/>
    <w:link w:val="ad"/>
    <w:rsid w:val="00FF76EE"/>
    <w:pPr>
      <w:shd w:val="clear" w:color="auto" w:fill="FFFFFF"/>
      <w:spacing w:before="480" w:after="0" w:line="317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40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2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69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6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0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1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33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8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7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420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536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0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27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909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9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7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7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2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7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3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3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7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34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76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833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765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970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085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h2020.com.ua/u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2020.com.ua/u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&#1042;&#1086;&#1074;&#1072;\Desktop\SVL_save\intern-progr\Monnet\&#1096;&#1072;&#1073;&#1083;&#1086;&#1085;%20&#1076;&#1083;&#1103;%20%20&#1076;&#1086;&#1082;&#1091;&#1084;&#1077;&#1085;&#1090;&#1110;&#1074;%20&#1079;&#1072;%20&#1087;&#1088;&#1086;&#1077;&#1082;&#1090;&#1086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BB51-FC79-4A80-9986-664C1CD5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 документів за проектом</Template>
  <TotalTime>1</TotalTime>
  <Pages>11</Pages>
  <Words>3998</Words>
  <Characters>22793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2</cp:revision>
  <cp:lastPrinted>2017-12-14T10:59:00Z</cp:lastPrinted>
  <dcterms:created xsi:type="dcterms:W3CDTF">2018-02-07T21:30:00Z</dcterms:created>
  <dcterms:modified xsi:type="dcterms:W3CDTF">2018-02-07T21:30:00Z</dcterms:modified>
</cp:coreProperties>
</file>