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89" w:rsidRPr="00BB3922" w:rsidRDefault="00404244" w:rsidP="000157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922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  <w:r w:rsidR="0044603F" w:rsidRPr="00BB3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BB3922">
        <w:rPr>
          <w:rFonts w:ascii="Times New Roman" w:hAnsi="Times New Roman" w:cs="Times New Roman"/>
          <w:b/>
          <w:sz w:val="28"/>
          <w:szCs w:val="28"/>
          <w:lang w:val="uk-UA"/>
        </w:rPr>
        <w:t>ТЕОРЕТИКО-МЕТОДИЧНЕ ОБГРУНТУВАННЯ СИСТЕМИ СТУДЕНТСЬКОГО СПОРТУ УКРАЇНИ У ХХІ СТОЛІТТІ</w:t>
      </w:r>
    </w:p>
    <w:p w:rsidR="00C11EE1" w:rsidRPr="00BB3922" w:rsidRDefault="00C11EE1" w:rsidP="000157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4AC" w:rsidRPr="00BB3922" w:rsidRDefault="00944971" w:rsidP="00015772">
      <w:pPr>
        <w:spacing w:after="0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BB39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Лекція № </w:t>
      </w:r>
      <w:r w:rsidR="001506D4" w:rsidRPr="00BB39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7</w:t>
      </w:r>
      <w:r w:rsidR="0044603F" w:rsidRPr="00BB39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. </w:t>
      </w:r>
      <w:r w:rsidR="00C11EE1" w:rsidRPr="00BB39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Характеристика системи підготовки в студентському спорті України</w:t>
      </w:r>
    </w:p>
    <w:p w:rsidR="00C11EE1" w:rsidRPr="00BB3922" w:rsidRDefault="00C11EE1" w:rsidP="00015772">
      <w:pPr>
        <w:spacing w:after="0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FB24AC" w:rsidRPr="00BB3922" w:rsidRDefault="00FB24AC" w:rsidP="00015772">
      <w:pPr>
        <w:spacing w:after="0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BB39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План:</w:t>
      </w:r>
    </w:p>
    <w:p w:rsidR="00C11EE1" w:rsidRPr="00BB3922" w:rsidRDefault="00C11EE1" w:rsidP="00015772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BB39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Особливості системи підготовки в студентському спорті України</w:t>
      </w:r>
    </w:p>
    <w:p w:rsidR="00C11EE1" w:rsidRPr="00BB3922" w:rsidRDefault="00C11EE1" w:rsidP="0001577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4"/>
          <w:b/>
          <w:bCs/>
          <w:caps/>
          <w:sz w:val="28"/>
          <w:szCs w:val="28"/>
          <w:lang w:val="uk-UA"/>
        </w:rPr>
      </w:pPr>
    </w:p>
    <w:p w:rsidR="00C11EE1" w:rsidRPr="00BB3922" w:rsidRDefault="00C11EE1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Студентський спорт як активна соціальна практика з кожним наступним етапом розвитку суспільства</w:t>
      </w:r>
      <w:r w:rsidR="00C513E5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потребує вивчення особливостей</w:t>
      </w:r>
      <w:r w:rsidR="00C513E5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свого існування. Нові соціально-економічні та політичні</w:t>
      </w:r>
      <w:r w:rsidR="00C513E5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умови, наявні в України, зумовлюють необхідність вивчення та</w:t>
      </w:r>
      <w:r w:rsidR="00C513E5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з’ясування особливостей системи</w:t>
      </w:r>
      <w:r w:rsidR="00C513E5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підготовки студентів-спортсменів</w:t>
      </w:r>
      <w:r w:rsidR="00C513E5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та її порівняння із наявними фундаментальними науковими даними.</w:t>
      </w:r>
    </w:p>
    <w:p w:rsidR="005832C3" w:rsidRPr="00BB3922" w:rsidRDefault="00204848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Система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підготовки у студентському спорті розгляда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ється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 основі її критичного аналізу та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співставл</w:t>
      </w:r>
      <w:r w:rsidR="00755BD4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ення з фундаментальними даними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.</w:t>
      </w:r>
    </w:p>
    <w:p w:rsidR="005832C3" w:rsidRPr="00BB3922" w:rsidRDefault="005832C3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Основою для утворення персоніфікованої підсистеми виступає, як і в класичному варіанті</w:t>
      </w:r>
      <w:r w:rsidR="00204848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− спортсмен. Однак, на відміну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від загальноприйнятих даних у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системі підготовки, спортсмен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ає окремий визначений соці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альний статус, який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має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виражене позиціонування. Тобто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без об’єктивної можливості на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вчання у вищому навчальному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закладі України (ВНЗ), будь-якого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рі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вня акредитації, він не може потрапити до відповідної соціаль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ної си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стеми. Щодо іншої складо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вої персоніфікованої підсистеми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системи підготовки спортсменів,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тобто тренера, наявні також певні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ос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обливості та протиріччя. З одні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єї сторони, тренер як обов’язкова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ланка системи підготовки спортс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менів повинен забезпечити якіс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ний процес підготовки і переду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мови для досягнення найвищих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результатів у головних змаганнях.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 іншої сторони, у випадку студентського спорту наявність тренера як особи з усталеними функ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ціональними обов’язками має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до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даткові завдання. Так, для біль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ш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ості варіантів організації робо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ти спортивного клубу чи іншого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ідрозділу з організації студент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ського спорту ВНЗ обов’язково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повинне виконуватися навчальне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навантаження. Це створює певні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протиріччя у діяльності особи,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що буде забезпечувати підготовку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студентів-спортсменів. Для за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г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ального процесу організації фіз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культурно-спортивної роботи та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підготовки студентів-спортсменів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до досягнення найвищого спор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тивного результату притаманне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ізне змістове та цільове спряму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вання.</w:t>
      </w:r>
    </w:p>
    <w:p w:rsidR="005832C3" w:rsidRPr="00BB3922" w:rsidRDefault="005832C3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Як будь-яка система, система</w:t>
      </w:r>
      <w:r w:rsidR="00D61AD0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підготовки в студентському спорті повинна взаємодіяти із серед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овищем, в якому вона утворена.</w:t>
      </w:r>
    </w:p>
    <w:p w:rsidR="005832C3" w:rsidRPr="00BB3922" w:rsidRDefault="00D61AD0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Суттєвими відмінностями у цьому випадку виступає те, що сту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дентський спорт, на відміну від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олімпійського, професійного чи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адаптивного спорту, взаємодіє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lastRenderedPageBreak/>
        <w:t>не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з </w:t>
      </w: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мегасередовищем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, а з макросередовищем, яке за певних обста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вин можливо охарактеризувати як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мезосередовище</w:t>
      </w:r>
      <w:proofErr w:type="spellEnd"/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. Це пояснюється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тим, що студентський спорт спря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мований на цільову аудиторію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студентської молоді, що значно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зменшує зацікавлення цією фор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мою існування спорту іншими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соціальними групами. Тому до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діяльності у межах студентського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спорту залучається безпосереднє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та опосередковане оточення, а в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випадку олімпійського, профе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сійного та адаптивного – світове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товариство.</w:t>
      </w:r>
    </w:p>
    <w:p w:rsidR="005832C3" w:rsidRPr="00BB3922" w:rsidRDefault="005832C3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Середовище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має безпосередній вплив на орга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нізацію фізкультурно-спортивної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роботи та діяльність ВНЗ у цьому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напрямі. Ґрунтовний вплив серед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</w:t>
      </w:r>
      <w:r w:rsidR="00D60C5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вища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також чинить на усі елемен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ти групи забезпечення, адже вони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перебувають у прямій залежності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від соціально-економічних умов,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що утворилися в країні. Безпере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чн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о, те що можливість якісного за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лучення системи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підготовки фахів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цями зі спорту також обумовлена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основними тенденціями галузево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го національного розвитку. Проте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основний функціональний вплив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має середовище на особистість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студента-спортсмена, що проявля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ється у формуванні та забезпеченні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стійкого соц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іального запиту на ре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зультат, який ним демонструється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 змаганнях із певного виду спорту.</w:t>
      </w:r>
    </w:p>
    <w:p w:rsidR="00D60C53" w:rsidRPr="00BB3922" w:rsidRDefault="00484F4D" w:rsidP="00037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Для об’єктивного представлення системи підготовки в студент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ькому спорті варто охарактеризу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вати основні (суттєві) відмінності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структури та змісту порівняно із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к</w:t>
      </w:r>
      <w:r w:rsidR="00D60C5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ласичним варіантом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. </w:t>
      </w:r>
    </w:p>
    <w:p w:rsidR="00D60C53" w:rsidRPr="00BB3922" w:rsidRDefault="00484F4D" w:rsidP="00037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У структурі системи підготовки в студентському спорті наявні осо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бливості, пов’язані із залученням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до </w:t>
      </w:r>
      <w:proofErr w:type="spellStart"/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процесної</w:t>
      </w:r>
      <w:proofErr w:type="spellEnd"/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підсистеми (групи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забезпечення) двох елементів, а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саме – нормативно-правового та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кадрового забезпечення. </w:t>
      </w:r>
    </w:p>
    <w:p w:rsidR="00D60C53" w:rsidRPr="00BB3922" w:rsidRDefault="005832C3" w:rsidP="00037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>Перше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є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процесом створення і підтримки в</w:t>
      </w:r>
      <w:r w:rsidR="00484F4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необхідних межах конструктивних</w:t>
      </w:r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організацій системи підготовки в</w:t>
      </w:r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студентському спорті, окремими</w:t>
      </w:r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функціональними характеристика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ми за допомогою упорядкованого</w:t>
      </w:r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впливу нормативно-правових засо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бів. На відміну від значної кількості</w:t>
      </w:r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законодавчих підстав для розвитку</w:t>
      </w:r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</w:t>
      </w:r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истеми підготовки в олімпійсько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му</w:t>
      </w:r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спорті, для студентського спор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ту наявні прогалини, що не дають</w:t>
      </w:r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</w:t>
      </w:r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моги у повному обсязі забезпечити діяльність </w:t>
      </w:r>
      <w:proofErr w:type="spellStart"/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процесових</w:t>
      </w:r>
      <w:proofErr w:type="spellEnd"/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струк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тур студентського спорту, зокрема</w:t>
      </w:r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спортивного клубу як низинної</w:t>
      </w:r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ланки розвитку студентського</w:t>
      </w:r>
      <w:r w:rsidR="007933CC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спорту. </w:t>
      </w:r>
    </w:p>
    <w:p w:rsidR="005832C3" w:rsidRPr="00BB3922" w:rsidRDefault="007933CC" w:rsidP="000378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>Друге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– пов’язане із по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требою комплексу дій щодо пошуку, оцінки і встановлення якісних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стосунків із суб’єктами діяльності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студентського спорту, забезпечення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їх розвитку та </w:t>
      </w:r>
      <w:proofErr w:type="spellStart"/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самоудосконалення</w:t>
      </w:r>
      <w:proofErr w:type="spellEnd"/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,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унормування найму на тимчасових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чи постійних умовах. </w:t>
      </w:r>
    </w:p>
    <w:p w:rsidR="005832C3" w:rsidRPr="00BB3922" w:rsidRDefault="005832C3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Окрім нових елементів у цій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групі, наголосимо на тому, що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аналізування масиву наукової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та методичної літератури вказа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ло на умовність реалізації таких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складових групи забезпечення, як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медико-біологічне</w:t>
      </w:r>
      <w:proofErr w:type="spellEnd"/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та науково-ме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</w:t>
      </w:r>
      <w:r w:rsidR="00966834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одичне забезпечення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.</w:t>
      </w:r>
    </w:p>
    <w:p w:rsidR="00BB3922" w:rsidRDefault="00BB3922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</w:pPr>
    </w:p>
    <w:p w:rsidR="00A9422E" w:rsidRPr="0094259E" w:rsidRDefault="006B2BBA" w:rsidP="00A9422E">
      <w:pPr>
        <w:autoSpaceDE w:val="0"/>
        <w:autoSpaceDN w:val="0"/>
        <w:adjustRightInd w:val="0"/>
        <w:spacing w:after="0"/>
        <w:ind w:firstLine="709"/>
        <w:jc w:val="both"/>
        <w:rPr>
          <w:b/>
        </w:rPr>
      </w:pPr>
      <w:r w:rsidRPr="006B2BBA">
        <w:rPr>
          <w:rFonts w:ascii="Times New Roman" w:eastAsia="TimesNewRomanPSMT" w:hAnsi="Times New Roman" w:cs="Times New Roman"/>
          <w:i/>
          <w:noProof/>
          <w:sz w:val="28"/>
          <w:szCs w:val="28"/>
        </w:rPr>
        <w:lastRenderedPageBreak/>
        <w:pict>
          <v:roundrect id="_x0000_s1052" style="position:absolute;left:0;text-align:left;margin-left:415pt;margin-top:4.05pt;width:81.95pt;height:98.95pt;z-index:251682816" arcsize="10923f" fillcolor="#9c0">
            <v:fill rotate="t" focus="50%" type="gradient"/>
            <v:textbox style="mso-next-textbox:#_x0000_s1052" inset="0,0,0,0">
              <w:txbxContent>
                <w:p w:rsidR="00A427A0" w:rsidRDefault="00A427A0" w:rsidP="00A42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спорт вищих досягнень</w:t>
                  </w:r>
                </w:p>
                <w:p w:rsidR="00A427A0" w:rsidRDefault="00A427A0" w:rsidP="00A42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A427A0" w:rsidRDefault="00A427A0" w:rsidP="00A42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резервний спорт</w:t>
                  </w:r>
                </w:p>
                <w:p w:rsidR="00DB026C" w:rsidRDefault="00DB026C" w:rsidP="00A42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DB026C" w:rsidRDefault="00DB026C" w:rsidP="00A42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DB026C" w:rsidRPr="00A427A0" w:rsidRDefault="00DB026C" w:rsidP="00A427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масовий спорт</w:t>
                  </w:r>
                </w:p>
              </w:txbxContent>
            </v:textbox>
          </v:roundrect>
        </w:pict>
      </w:r>
      <w:r w:rsidRPr="006B2BBA"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roundrect id="_x0000_s1033" style="position:absolute;left:0;text-align:left;margin-left:319.2pt;margin-top:7.8pt;width:95.8pt;height:95.2pt;z-index:251664384" arcsize="10923f" fillcolor="#fcf">
            <v:fill color2="#c9f" rotate="t" angle="-90" focus="50%" type="gradient"/>
            <v:textbox style="mso-next-textbox:#_x0000_s1033" inset="0,0,0,0">
              <w:txbxContent>
                <w:p w:rsidR="00623222" w:rsidRDefault="00623222" w:rsidP="006232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змагання</w:t>
                  </w:r>
                </w:p>
                <w:p w:rsidR="00623222" w:rsidRDefault="00623222" w:rsidP="006232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623222" w:rsidRDefault="00623222" w:rsidP="006232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відновлення</w:t>
                  </w:r>
                </w:p>
                <w:p w:rsidR="00623222" w:rsidRDefault="00623222" w:rsidP="006232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623222" w:rsidRPr="00623222" w:rsidRDefault="00623222" w:rsidP="006232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тренування</w:t>
                  </w:r>
                </w:p>
              </w:txbxContent>
            </v:textbox>
          </v:roundrect>
        </w:pict>
      </w:r>
      <w:r w:rsidRPr="006B2BBA"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left:0;text-align:left;margin-left:233.35pt;margin-top:7.8pt;width:9pt;height:45pt;z-index:251672576" fillcolor="#c9f">
            <v:fill rotate="t" type="gradient"/>
            <v:textbox style="layout-flow:vertical-ideographic"/>
          </v:shape>
        </w:pict>
      </w:r>
      <w:r w:rsidRPr="006B2BBA"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roundrect id="_x0000_s1032" style="position:absolute;left:0;text-align:left;margin-left:30.55pt;margin-top:7.8pt;width:95.8pt;height:95.2pt;z-index:251663360" arcsize="10923f" fillcolor="#fcf">
            <v:fill color2="#c9f" rotate="t" angle="-90" focus="50%" type="gradient"/>
            <v:textbox style="mso-next-textbox:#_x0000_s1032" inset="0,0,0,0">
              <w:txbxContent>
                <w:p w:rsidR="00091CE2" w:rsidRDefault="00623222" w:rsidP="006232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r w:rsidRPr="0062322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озвиток</w:t>
                  </w:r>
                </w:p>
                <w:p w:rsidR="00623222" w:rsidRDefault="00623222" w:rsidP="006232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623222" w:rsidRPr="00623222" w:rsidRDefault="00623222" w:rsidP="006232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6232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НАВЧАННЯ</w:t>
                  </w:r>
                </w:p>
                <w:p w:rsidR="00623222" w:rsidRDefault="00623222" w:rsidP="006232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623222" w:rsidRPr="00623222" w:rsidRDefault="00623222" w:rsidP="006232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виховання</w:t>
                  </w:r>
                </w:p>
              </w:txbxContent>
            </v:textbox>
          </v:roundrect>
        </w:pict>
      </w:r>
      <w:r w:rsidRPr="006B2BBA"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roundrect id="_x0000_s1028" style="position:absolute;left:0;text-align:left;margin-left:156.7pt;margin-top:-12.85pt;width:153pt;height:29.75pt;z-index:251659264" arcsize="10923f" fillcolor="#00fef8">
            <o:extrusion v:ext="view" on="t"/>
            <v:textbox style="mso-next-textbox:#_x0000_s1028">
              <w:txbxContent>
                <w:p w:rsidR="00A9422E" w:rsidRPr="00A9422E" w:rsidRDefault="00A9422E" w:rsidP="00A9422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A9422E"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  <w:lang w:val="uk-UA"/>
                    </w:rPr>
                    <w:t>СЕРЕДОВИЩЕ</w:t>
                  </w:r>
                </w:p>
              </w:txbxContent>
            </v:textbox>
          </v:roundrect>
        </w:pict>
      </w:r>
    </w:p>
    <w:p w:rsidR="00BB3922" w:rsidRDefault="00BB3922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</w:pPr>
    </w:p>
    <w:p w:rsidR="00BB3922" w:rsidRDefault="006B2BBA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</w:pPr>
      <w:r w:rsidRPr="006B2BBA">
        <w:rPr>
          <w:rFonts w:ascii="Times New Roman" w:eastAsia="TimesNewRomanPSMT" w:hAnsi="Times New Roman" w:cs="Times New Roman"/>
          <w:noProof/>
          <w:sz w:val="28"/>
          <w:szCs w:val="28"/>
        </w:rPr>
        <w:pict>
          <v:line id="_x0000_s1053" style="position:absolute;left:0;text-align:left;z-index:251683840" from="334.75pt,.1pt" to="496.95pt,.1pt"/>
        </w:pict>
      </w:r>
      <w:r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282.4pt;margin-top:16.65pt;width:36pt;height:20.25pt;z-index:251665408" fillcolor="#c9f">
            <v:fill rotate="t" angle="-90" type="gradient"/>
          </v:shape>
        </w:pict>
      </w:r>
      <w:r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shape id="_x0000_s1035" type="#_x0000_t13" style="position:absolute;left:0;text-align:left;margin-left:146.15pt;margin-top:16.65pt;width:36pt;height:20.25pt;z-index:251666432" fillcolor="#c9f">
            <v:fill rotate="t" angle="-90" type="gradient"/>
          </v:shape>
        </w:pict>
      </w:r>
      <w:r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9" type="#_x0000_t22" style="position:absolute;left:0;text-align:left;margin-left:199.9pt;margin-top:.1pt;width:78.55pt;height:60.15pt;z-index:-251656192;mso-wrap-edited:f" adj="5842" fillcolor="aqua" strokecolor="#969696">
            <v:textbox style="mso-next-textbox:#_x0000_s1029">
              <w:txbxContent>
                <w:p w:rsidR="00A9422E" w:rsidRPr="00A9422E" w:rsidRDefault="00A9422E" w:rsidP="00A9422E">
                  <w:pPr>
                    <w:pStyle w:val="af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A9422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Студент-спортсмен</w:t>
                  </w:r>
                </w:p>
              </w:txbxContent>
            </v:textbox>
          </v:shape>
        </w:pict>
      </w:r>
    </w:p>
    <w:p w:rsidR="00BB3922" w:rsidRDefault="006B2BBA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</w:pPr>
      <w:r w:rsidRPr="006B2BBA">
        <w:rPr>
          <w:rFonts w:ascii="Times New Roman" w:eastAsia="TimesNewRomanPSMT" w:hAnsi="Times New Roman" w:cs="Times New Roman"/>
          <w:noProof/>
          <w:sz w:val="28"/>
          <w:szCs w:val="28"/>
        </w:rPr>
        <w:pict>
          <v:line id="_x0000_s1054" style="position:absolute;left:0;text-align:left;z-index:251684864" from="334.75pt,10.45pt" to="496.95pt,10.45pt"/>
        </w:pict>
      </w:r>
    </w:p>
    <w:p w:rsidR="00BB3922" w:rsidRDefault="006B2BBA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45" type="#_x0000_t70" style="position:absolute;left:0;text-align:left;margin-left:233.35pt;margin-top:18.1pt;width:15.7pt;height:23.95pt;rotation:-11865413fd;flip:x;z-index:251675648" fillcolor="#c9f">
            <v:fill rotate="t" focus="100%" type="gradient"/>
            <v:textbox style="layout-flow:vertical-ideographic"/>
          </v:shape>
        </w:pict>
      </w:r>
    </w:p>
    <w:p w:rsidR="00BB3922" w:rsidRDefault="00BB3922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</w:pPr>
    </w:p>
    <w:p w:rsidR="00BB3922" w:rsidRDefault="006B2BBA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oval id="_x0000_s1031" style="position:absolute;left:0;text-align:left;margin-left:130.75pt;margin-top:-.05pt;width:231.9pt;height:26.95pt;z-index:251662336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1">
              <w:txbxContent>
                <w:p w:rsidR="005667A8" w:rsidRPr="005667A8" w:rsidRDefault="005667A8" w:rsidP="005667A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5667A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ТРЕНЕР-ВИКЛАДАЧ</w:t>
                  </w:r>
                </w:p>
                <w:p w:rsidR="005667A8" w:rsidRDefault="005667A8" w:rsidP="005667A8">
                  <w:pPr>
                    <w:rPr>
                      <w:sz w:val="28"/>
                      <w:szCs w:val="28"/>
                    </w:rPr>
                  </w:pPr>
                </w:p>
                <w:p w:rsidR="005667A8" w:rsidRDefault="005667A8" w:rsidP="005667A8">
                  <w:pPr>
                    <w:pStyle w:val="1"/>
                  </w:pPr>
                  <w:r>
                    <w:t>Методична компетентність</w:t>
                  </w:r>
                </w:p>
              </w:txbxContent>
            </v:textbox>
          </v:oval>
        </w:pict>
      </w:r>
    </w:p>
    <w:p w:rsidR="00BB3922" w:rsidRDefault="006B2BBA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shape id="_x0000_s1043" type="#_x0000_t70" style="position:absolute;left:0;text-align:left;margin-left:233.35pt;margin-top:5.1pt;width:15.7pt;height:23.95pt;rotation:-11865413fd;flip:x;z-index:251674624" fillcolor="#c9f">
            <v:fill rotate="t" focus="100%" type="gradient"/>
            <v:textbox style="layout-flow:vertical-ideographic"/>
          </v:shape>
        </w:pict>
      </w:r>
    </w:p>
    <w:p w:rsidR="00BB3922" w:rsidRDefault="006B2BBA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roundrect id="_x0000_s1042" style="position:absolute;left:0;text-align:left;margin-left:83.75pt;margin-top:10.5pt;width:306.8pt;height:18pt;z-index:251673600" arcsize="10923f" fillcolor="#8db3e2 [1311]">
            <v:fill color2="#fef2e7" rotate="t"/>
            <v:shadow on="t" opacity=".5" offset="6pt,-4pt" offset2=",4pt"/>
            <v:textbox style="mso-next-textbox:#_x0000_s1042" inset="0,0,0,0">
              <w:txbxContent>
                <w:p w:rsidR="00C90DA3" w:rsidRPr="00C90DA3" w:rsidRDefault="00C90DA3" w:rsidP="00C90DA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 А Б Е З П Е Ч Е Н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Я</w:t>
                  </w:r>
                </w:p>
              </w:txbxContent>
            </v:textbox>
          </v:roundrect>
        </w:pict>
      </w:r>
    </w:p>
    <w:p w:rsidR="00BB3922" w:rsidRDefault="006B2BBA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shape id="_x0000_s1047" type="#_x0000_t70" style="position:absolute;left:0;text-align:left;margin-left:400.4pt;margin-top:-.3pt;width:9.95pt;height:19.25pt;rotation:3474690fd;flip:x;z-index:251677696" fillcolor="#c9f">
            <v:fill rotate="t" focus="100%" type="gradient"/>
            <v:textbox style="layout-flow:vertical-ideographic"/>
          </v:shape>
        </w:pict>
      </w:r>
      <w:r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shape id="_x0000_s1046" type="#_x0000_t70" style="position:absolute;left:0;text-align:left;margin-left:63.7pt;margin-top:-2.2pt;width:9.95pt;height:22.2pt;rotation:-3200231fd;flip:x;z-index:251676672" fillcolor="#c9f">
            <v:fill rotate="t" focus="100%" type="gradient"/>
            <v:textbox style="layout-flow:vertical-ideographic"/>
          </v:shape>
        </w:pict>
      </w:r>
    </w:p>
    <w:p w:rsidR="00BB3922" w:rsidRDefault="006B2BBA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</w:pPr>
      <w:r w:rsidRPr="006B2BBA">
        <w:rPr>
          <w:rFonts w:ascii="Times New Roman" w:eastAsia="TimesNewRomanPSMT" w:hAnsi="Times New Roman" w:cs="Times New Roman"/>
          <w:noProof/>
          <w:sz w:val="28"/>
          <w:szCs w:val="28"/>
        </w:rPr>
        <w:pict>
          <v:shape id="_x0000_s1051" type="#_x0000_t13" style="position:absolute;left:0;text-align:left;margin-left:344.5pt;margin-top:15.2pt;width:18.6pt;height:9pt;z-index:251681792" fillcolor="#cff">
            <v:fill color2="#fcf" rotate="t" angle="-90" focus="100%" type="gradient"/>
          </v:shape>
        </w:pict>
      </w:r>
      <w:r w:rsidRPr="006B2BBA">
        <w:rPr>
          <w:rFonts w:ascii="Times New Roman" w:eastAsia="TimesNewRomanPSMT" w:hAnsi="Times New Roman" w:cs="Times New Roman"/>
          <w:noProof/>
          <w:sz w:val="28"/>
          <w:szCs w:val="28"/>
        </w:rPr>
        <w:pict>
          <v:shape id="_x0000_s1050" type="#_x0000_t13" style="position:absolute;left:0;text-align:left;margin-left:263.8pt;margin-top:15.2pt;width:18.6pt;height:9pt;z-index:251680768" fillcolor="#cff">
            <v:fill color2="#fcf" rotate="t" angle="-90" focus="100%" type="gradient"/>
          </v:shape>
        </w:pict>
      </w:r>
      <w:r w:rsidRPr="006B2BBA">
        <w:rPr>
          <w:rFonts w:ascii="Times New Roman" w:eastAsia="TimesNewRomanPSMT" w:hAnsi="Times New Roman" w:cs="Times New Roman"/>
          <w:noProof/>
          <w:sz w:val="28"/>
          <w:szCs w:val="28"/>
        </w:rPr>
        <w:pict>
          <v:shape id="_x0000_s1049" type="#_x0000_t13" style="position:absolute;left:0;text-align:left;margin-left:175.55pt;margin-top:15.2pt;width:18.6pt;height:9pt;z-index:251679744" fillcolor="#cff">
            <v:fill color2="#fcf" rotate="t" angle="-90" focus="100%" type="gradient"/>
          </v:shape>
        </w:pict>
      </w:r>
      <w:r w:rsidRPr="006B2BBA">
        <w:rPr>
          <w:rFonts w:ascii="Times New Roman" w:eastAsia="TimesNewRomanPSMT" w:hAnsi="Times New Roman" w:cs="Times New Roman"/>
          <w:noProof/>
          <w:sz w:val="28"/>
          <w:szCs w:val="28"/>
        </w:rPr>
        <w:pict>
          <v:shape id="_x0000_s1048" type="#_x0000_t13" style="position:absolute;left:0;text-align:left;margin-left:101.4pt;margin-top:15.2pt;width:18.6pt;height:9pt;z-index:251678720" fillcolor="#cff">
            <v:fill color2="#fcf" rotate="t" angle="-90" focus="100%" type="gradient"/>
          </v:shape>
        </w:pict>
      </w:r>
      <w:r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roundrect id="_x0000_s1040" style="position:absolute;left:0;text-align:left;margin-left:363.1pt;margin-top:1.05pt;width:68.25pt;height:38.8pt;z-index:251671552" arcsize="10923f" fillcolor="#fcf">
            <v:fill rotate="t" focus="50%" type="gradient"/>
            <v:textbox style="mso-next-textbox:#_x0000_s1040" inset="0,0,0,0">
              <w:txbxContent>
                <w:p w:rsidR="00B02D0D" w:rsidRPr="00161519" w:rsidRDefault="00B02D0D" w:rsidP="002B6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Нормативно-правове</w:t>
                  </w:r>
                </w:p>
              </w:txbxContent>
            </v:textbox>
          </v:roundrect>
        </w:pict>
      </w:r>
      <w:r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roundrect id="_x0000_s1039" style="position:absolute;left:0;text-align:left;margin-left:282.4pt;margin-top:1.05pt;width:68.25pt;height:38.8pt;z-index:251670528" arcsize="10923f" fillcolor="#fcf">
            <v:fill rotate="t" focus="50%" type="gradient"/>
            <v:textbox style="mso-next-textbox:#_x0000_s1039" inset="0,0,0,0">
              <w:txbxContent>
                <w:p w:rsidR="00161519" w:rsidRPr="00161519" w:rsidRDefault="00161519" w:rsidP="001615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Кадрове</w:t>
                  </w:r>
                </w:p>
              </w:txbxContent>
            </v:textbox>
          </v:roundrect>
        </w:pict>
      </w:r>
      <w:r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roundrect id="_x0000_s1038" style="position:absolute;left:0;text-align:left;margin-left:194.15pt;margin-top:1.05pt;width:76.15pt;height:38.8pt;z-index:251669504" arcsize="10923f" fillcolor="#fcf">
            <v:fill rotate="t" focus="50%" type="gradient"/>
            <v:textbox style="mso-next-textbox:#_x0000_s1038" inset="0,0,0,0">
              <w:txbxContent>
                <w:p w:rsidR="00161519" w:rsidRPr="00161519" w:rsidRDefault="00161519" w:rsidP="002B6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Матеріально-технічне</w:t>
                  </w:r>
                </w:p>
              </w:txbxContent>
            </v:textbox>
          </v:roundrect>
        </w:pict>
      </w:r>
      <w:r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roundrect id="_x0000_s1037" style="position:absolute;left:0;text-align:left;margin-left:113.9pt;margin-top:1.05pt;width:68.25pt;height:38.8pt;z-index:251668480" arcsize="10923f" fillcolor="#fcf">
            <v:fill rotate="t" focus="50%" type="gradient"/>
            <v:textbox style="mso-next-textbox:#_x0000_s1037" inset="0,0,0,0">
              <w:txbxContent>
                <w:p w:rsidR="00161519" w:rsidRPr="00161519" w:rsidRDefault="00161519" w:rsidP="002B6A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Науково-методичне</w:t>
                  </w:r>
                </w:p>
              </w:txbxContent>
            </v:textbox>
          </v:roundrect>
        </w:pict>
      </w:r>
      <w:r>
        <w:rPr>
          <w:rFonts w:ascii="Times New Roman" w:eastAsia="TimesNewRomanPSMT" w:hAnsi="Times New Roman" w:cs="Times New Roman"/>
          <w:i/>
          <w:noProof/>
          <w:sz w:val="28"/>
          <w:szCs w:val="28"/>
        </w:rPr>
        <w:pict>
          <v:roundrect id="_x0000_s1036" style="position:absolute;left:0;text-align:left;margin-left:36.8pt;margin-top:1.05pt;width:68.25pt;height:38.8pt;z-index:251667456" arcsize="10923f" fillcolor="#fcf">
            <v:fill rotate="t" focus="50%" type="gradient"/>
            <v:textbox style="mso-next-textbox:#_x0000_s1036" inset="0,0,0,0">
              <w:txbxContent>
                <w:p w:rsidR="00161519" w:rsidRPr="00161519" w:rsidRDefault="00161519" w:rsidP="001615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6151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Медико-біологічне</w:t>
                  </w:r>
                  <w:proofErr w:type="spellEnd"/>
                </w:p>
              </w:txbxContent>
            </v:textbox>
          </v:roundrect>
        </w:pict>
      </w:r>
    </w:p>
    <w:p w:rsidR="00BB3922" w:rsidRDefault="00BB3922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</w:pPr>
    </w:p>
    <w:p w:rsidR="00BB3922" w:rsidRDefault="00BB3922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</w:pPr>
    </w:p>
    <w:p w:rsidR="00BB3922" w:rsidRPr="00BB3922" w:rsidRDefault="00BB3922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Рис. 1. Схема система підготовки в студентському спорті</w:t>
      </w:r>
    </w:p>
    <w:p w:rsidR="005832C3" w:rsidRPr="00BB3922" w:rsidRDefault="005832C3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proofErr w:type="spellStart"/>
      <w:r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>Медико-біологічне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забезпечення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 цій соціальній практиці спорту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практично не проводиться. Реалізація напрямку </w:t>
      </w:r>
      <w:proofErr w:type="spellStart"/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медико-біологіч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ного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забезпечення спортсменів є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наслідком не цілеспрямованої ді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яльності в студентському спорті,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а результатом паралельного спор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тивного становлення спортсменів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у межах студентського спорту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та інших практик (олімпійсько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го, професійного, адаптивного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порту), за рахунок яких й прово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диться відповідне забезпечення.</w:t>
      </w:r>
    </w:p>
    <w:p w:rsidR="005832C3" w:rsidRPr="00BB3922" w:rsidRDefault="005832C3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Стосовно </w:t>
      </w:r>
      <w:r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>науково-методичного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забезпечення виявлена значна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кіл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ькість робіт фахівців галузі фі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зичної культури та спорту, проте</w:t>
      </w:r>
      <w:r w:rsidR="000378F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вони мають локалізований харак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тер і містять практичне значення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виключно для підготовки спортс</w:t>
      </w:r>
      <w:r w:rsidR="00966834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менів і команд в межах ВНЗ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.</w:t>
      </w:r>
    </w:p>
    <w:p w:rsidR="005832C3" w:rsidRPr="00BB3922" w:rsidRDefault="005832C3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Вищі рівні тр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енувального проце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су та змагальної діяльності при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цьому залишаються неохопленими. Вищезазначене дає нам підстави включити відповідні під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розділи у сукупність актуальних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напрямів подальшого розвитку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студентського спорту України.</w:t>
      </w:r>
    </w:p>
    <w:p w:rsidR="00675E44" w:rsidRPr="00BB3922" w:rsidRDefault="005832C3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Останній елемент групи забезпечення має найбільш виражений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об’єктивний зміст, адже матері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ально-технічне забезпечення має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критерії для з’ясування стану в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соціально-економічних умовах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різних країн.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Для сукупності елементів, що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містить навчання, виховання та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966834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розвиток є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та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кі особливос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ті в умовах системи підготовки в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студентському спорті. Об’єктивні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чинники пов’язані із цільово-результативною фізкультурно-спор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тивною діяльністю студентів під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час навчання у ВНЗ різного рівня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акредитації дали підстави виді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лити </w:t>
      </w:r>
      <w:r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 xml:space="preserve">три рівні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їхнього залучення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до тренувального процесу та зма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гальної діяльності (</w:t>
      </w:r>
      <w:r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>студентський</w:t>
      </w:r>
      <w:r w:rsidR="00E838B1"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 xml:space="preserve"> спорт вищих досягнень, резерв</w:t>
      </w:r>
      <w:r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>ний та масовий студентський</w:t>
      </w:r>
      <w:r w:rsidR="00E838B1"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>с</w:t>
      </w:r>
      <w:r w:rsidR="00E838B1"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>порт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). </w:t>
      </w:r>
    </w:p>
    <w:p w:rsidR="006B45AD" w:rsidRPr="00BB3922" w:rsidRDefault="00675E44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піввідношення на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вчання, виховання та розвитку є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різними, незважаючи на умовну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цілісність завдань студентського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</w:t>
      </w:r>
      <w:r w:rsidR="00E838B1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порту. </w:t>
      </w:r>
    </w:p>
    <w:p w:rsidR="005832C3" w:rsidRPr="00BB3922" w:rsidRDefault="00E838B1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lastRenderedPageBreak/>
        <w:t xml:space="preserve">Для </w:t>
      </w:r>
      <w:r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>масового студентсько</w:t>
      </w:r>
      <w:r w:rsidR="005832C3"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 xml:space="preserve">го спорту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переважають завдання із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акцентуацією на навчально-вихо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аний процес. Із підвищенням рів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ня особистісних домагань і потреб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студентів спортсменів ця частка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зменшується, та водночас зростає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частка спрямована на розвиток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спортивної майстерності студента-с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портсмена. У результаті, на най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вищому рівні (студентський спорт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вищих досягнень), що передбачає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участь у міжнародних змаганнях, включно із Всесвітніми Універс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іадами, завдання виховання спортс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менів є мінімізованим.</w:t>
      </w:r>
    </w:p>
    <w:p w:rsidR="005832C3" w:rsidRPr="00BB3922" w:rsidRDefault="005832C3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Окремо варто розглянути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елемент навчання. Порівняно із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класичними уявленнями про сис</w:t>
      </w:r>
      <w:r w:rsidR="00CC3F54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тему підготовки спортсменів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,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у студентському спорті навчання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вимагає значно більше уваги до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своєї реалізац</w:t>
      </w:r>
      <w:r w:rsidR="00CC3F54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ії. Ц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ей елемент один з небагатьох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що виходить за межі свого блоку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та, навіть, системи загалом. Це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пов’язано із тим, що основними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мотивами потрапляння студен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тів-спортсменів до цієї соціальної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практики є здобуття освіти від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повідного рівня та спрямування.</w:t>
      </w:r>
    </w:p>
    <w:p w:rsidR="00CC3F54" w:rsidRPr="00BB3922" w:rsidRDefault="001459C7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Сама по собі тренувальна та зма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гальна діяльність, яка забезпечує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в основному розвиток особистості, не забезпечить отримання ви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щої освіти, тобто компенсаторні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механізми є відсутніми.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Такий самий підхід </w:t>
      </w:r>
      <w:r w:rsidR="00CC3F54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є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при розгляді іншої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сукупності елементів (тренуван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ня, змагання та відновлення). Із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змінами мотивації студентів до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занять фізкультурно-спортивною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роботою, та підвищенням орієн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ації на досягнення високих спор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тивних результатів, у сукупності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цих елементів відбуваються зміни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співвідношень. </w:t>
      </w:r>
    </w:p>
    <w:p w:rsidR="00CC3F54" w:rsidRPr="00BB3922" w:rsidRDefault="005832C3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Так, об’єктивно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для </w:t>
      </w:r>
      <w:r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>масового спорту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, в умовах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ВНЗ, домінуючою є навчально-тренувальна діяльність. Участь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у змаганнях передбачена лише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 рівні внутрішньо вузівської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універсіади. </w:t>
      </w:r>
    </w:p>
    <w:p w:rsidR="005832C3" w:rsidRPr="00BB3922" w:rsidRDefault="005832C3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На рівні </w:t>
      </w:r>
      <w:r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>резервного</w:t>
      </w:r>
      <w:r w:rsidR="001459C7"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>спорту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можна стверджувати, що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тренувальна діяльність набуває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ознак сталості та повинна передбачати адекватні потребам сту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дентів-спортсменів адаптаційні</w:t>
      </w:r>
      <w:r w:rsidR="001459C7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зміни. Рівень змагань підвищу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ється, а отже й зростають вимоги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до підготовленості спортсменів.</w:t>
      </w:r>
    </w:p>
    <w:p w:rsidR="005832C3" w:rsidRPr="00BB3922" w:rsidRDefault="005832C3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Однозначно, що граничними є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вимоги до 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підготовленості на рів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ні студентського </w:t>
      </w:r>
      <w:r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>спорту вищих</w:t>
      </w:r>
      <w:r w:rsidR="006B45AD"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i/>
          <w:sz w:val="28"/>
          <w:szCs w:val="28"/>
          <w:lang w:val="uk-UA" w:eastAsia="en-US"/>
        </w:rPr>
        <w:t>досягнень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, що передбачає участь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у найбільш престижних міжна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родних змаганнях, у тому числі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й Всесвітніх Універсіадах. Цей</w:t>
      </w:r>
      <w:r w:rsidR="00CC3F54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рівень навчально-тренувальних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занять студентів-спортсменів за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цільово-результати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вною спря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мованістю забезпечити в умовах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ВНЗ є складно, адже він перед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бачає усю сукупність елементів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групи забезпечення, найвищий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рівень фахової підготовленості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тренера-викладача тощо. Тобто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на цьому рівні студенти-спортс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мени навіть за тренувальними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обсягами не в змозі вкластися у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нормований навчальний процес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ВНЗ та потребують створення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сприятливих, інколи пільгових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умов. Студентський спорт вищих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досягнень повинен реалізовувати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значний запит його суб’єктів в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змагальній практиці, що суттєво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змінює пропо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рції власне в сто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рону елементу змагань. Для ще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одного елементу цієї групи (від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новлення) в системі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lastRenderedPageBreak/>
        <w:t>підготовки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студентського спорту виявлено протиріччя. З однієї сторо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ни, відновлення є обов’язковим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елементом системи підготовки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CC3F54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спортсменів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, проте аналіз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значного масиву даних вказує, що</w:t>
      </w:r>
      <w:r w:rsidR="006B45AD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цим питанням фахівцями приді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лялося надзвичайно мало уваги.</w:t>
      </w:r>
    </w:p>
    <w:p w:rsidR="005832C3" w:rsidRPr="00BB3922" w:rsidRDefault="008B2722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Виходячи із практики, відновлен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ня студентів-спортсменів після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виснажливого навчально-трену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вального процесу та змагальної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діяльності на рівні резервного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студентського спорту проводить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ся на інтуїтивно-емпіричному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рівні самого суб’єкта студентського спорту чи тренера-викла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дача. Вже на рівні студентського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спорту вищих досягнень увага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до елементу відновлення значно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зростає, що зумовлене пошуком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ре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зервів для зростання результа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тивності змагальної діяльності.</w:t>
      </w:r>
    </w:p>
    <w:p w:rsidR="005832C3" w:rsidRPr="00BB3922" w:rsidRDefault="008B2722" w:rsidP="000157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Система підготов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ки спортсменів в студентському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сп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орті має значну кількість спільних ознак із класичним представленням розкритим в фундамен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тальних роботах. Характерними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відмінн</w:t>
      </w:r>
      <w:r w:rsidR="009A17EE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остями,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є доповнення структури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елементами групи забезпечення, </w:t>
      </w:r>
      <w:proofErr w:type="spellStart"/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переорієнтованістю</w:t>
      </w:r>
      <w:proofErr w:type="spellEnd"/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поодиноких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елементів (навчання, відновлення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тощо), виокремленням окремих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рівнів занять студентами-спортс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менами фізкультур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но-спортив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ою діяльність за цільово-резуль</w:t>
      </w:r>
      <w:r w:rsidR="005832C3"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тативною спрямованістю.</w:t>
      </w:r>
    </w:p>
    <w:p w:rsidR="00C11EE1" w:rsidRPr="00BB3922" w:rsidRDefault="00C11EE1" w:rsidP="0001577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4"/>
          <w:b/>
          <w:bCs/>
          <w:caps/>
          <w:sz w:val="28"/>
          <w:szCs w:val="28"/>
          <w:lang w:val="uk-UA"/>
        </w:rPr>
      </w:pPr>
    </w:p>
    <w:p w:rsidR="00944971" w:rsidRPr="00BB3922" w:rsidRDefault="00944971" w:rsidP="0001577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BB3922">
        <w:rPr>
          <w:rStyle w:val="af4"/>
          <w:b/>
          <w:bCs/>
          <w:sz w:val="28"/>
          <w:szCs w:val="28"/>
          <w:lang w:val="uk-UA"/>
        </w:rPr>
        <w:t xml:space="preserve">К о н т р о л ь н і   з а п и т а н </w:t>
      </w:r>
      <w:proofErr w:type="spellStart"/>
      <w:r w:rsidRPr="00BB3922">
        <w:rPr>
          <w:rStyle w:val="af4"/>
          <w:b/>
          <w:bCs/>
          <w:sz w:val="28"/>
          <w:szCs w:val="28"/>
          <w:lang w:val="uk-UA"/>
        </w:rPr>
        <w:t>н</w:t>
      </w:r>
      <w:proofErr w:type="spellEnd"/>
      <w:r w:rsidRPr="00BB3922">
        <w:rPr>
          <w:rStyle w:val="af4"/>
          <w:b/>
          <w:bCs/>
          <w:sz w:val="28"/>
          <w:szCs w:val="28"/>
          <w:lang w:val="uk-UA"/>
        </w:rPr>
        <w:t xml:space="preserve"> я :</w:t>
      </w:r>
    </w:p>
    <w:p w:rsidR="009A17EE" w:rsidRPr="00BB3922" w:rsidRDefault="009A17EE" w:rsidP="009A17E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Які є протиріччя у системі підготовки в студентському спорті?</w:t>
      </w:r>
    </w:p>
    <w:p w:rsidR="009A17EE" w:rsidRPr="00BB3922" w:rsidRDefault="009A17EE" w:rsidP="009A17E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У чому визначаються особливості у структурі системи підготовки в студентському спорті?</w:t>
      </w:r>
    </w:p>
    <w:p w:rsidR="009A17EE" w:rsidRPr="00BB3922" w:rsidRDefault="009A17EE" w:rsidP="009A17E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Охарактеризуйте два елемента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у структурі системи підготовки в студентському спорті?</w:t>
      </w:r>
    </w:p>
    <w:p w:rsidR="009A17EE" w:rsidRPr="00BB3922" w:rsidRDefault="009A17EE" w:rsidP="009A17E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Охарактеризуйте 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складову у структурі забезпечення у підготовці в студентському спорті - </w:t>
      </w: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медико-біологічну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?</w:t>
      </w:r>
    </w:p>
    <w:p w:rsidR="009A17EE" w:rsidRPr="00BB3922" w:rsidRDefault="009A17EE" w:rsidP="009A17E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Охарактеризуйте три рівні елементів навчання?</w:t>
      </w:r>
    </w:p>
    <w:p w:rsidR="00944971" w:rsidRPr="00BB3922" w:rsidRDefault="00944971" w:rsidP="0001577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4"/>
          <w:color w:val="555555"/>
          <w:spacing w:val="-7"/>
          <w:sz w:val="28"/>
          <w:szCs w:val="28"/>
          <w:lang w:val="uk-UA"/>
        </w:rPr>
      </w:pPr>
    </w:p>
    <w:p w:rsidR="00AB397F" w:rsidRPr="00BB3922" w:rsidRDefault="00AB397F" w:rsidP="000157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B39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САМОСТІЙНЕ ЗАВДАННЯ № 7</w:t>
      </w:r>
    </w:p>
    <w:p w:rsidR="00BB3922" w:rsidRPr="00751936" w:rsidRDefault="00BB3922" w:rsidP="00BB3922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BB3922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Характеристика виступів збірних команд України у Всесвітніх </w:t>
      </w:r>
      <w:r w:rsidRPr="00BB392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Універсіадах (літніх та зимових)</w:t>
      </w:r>
      <w:r w:rsidR="0075193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51936" w:rsidRPr="00BB3922" w:rsidRDefault="00751936" w:rsidP="00BB3922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Студентські</w:t>
      </w:r>
      <w:r w:rsidRPr="007519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змагання, організоване Співтовариством Автомобільних Інж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енерів - </w:t>
      </w:r>
      <w:proofErr w:type="spellStart"/>
      <w:r w:rsidRPr="007519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Formula</w:t>
      </w:r>
      <w:proofErr w:type="spellEnd"/>
      <w:r w:rsidRPr="007519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SAE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751936" w:rsidRDefault="00751936" w:rsidP="000157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4603F" w:rsidRPr="00BB3922" w:rsidRDefault="00093D6C" w:rsidP="000157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B39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ЛІ</w:t>
      </w:r>
      <w:r w:rsidR="0044603F" w:rsidRPr="00BB39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ТЕРАТУРА</w:t>
      </w:r>
    </w:p>
    <w:p w:rsidR="009A17EE" w:rsidRPr="00BB3922" w:rsidRDefault="009A17EE" w:rsidP="00484F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val="uk-UA" w:eastAsia="en-US"/>
        </w:rPr>
      </w:pPr>
    </w:p>
    <w:p w:rsidR="00372459" w:rsidRPr="00BB3922" w:rsidRDefault="00372459" w:rsidP="0037245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Войнаровський А.М. Аналіз виступів українських спортсменів на студентських Універсіадах 1993–2011 рр. / А.М. Войнаровський, Н.С. </w:t>
      </w: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Войнаровська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// Фізичне виховання, спорт і культура здоров'я у сучасному суспільстві. − 2012. − № 1. − С. 3–9.</w:t>
      </w:r>
    </w:p>
    <w:p w:rsidR="00372459" w:rsidRPr="00BB3922" w:rsidRDefault="00372459" w:rsidP="0037245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lastRenderedPageBreak/>
        <w:t>Ківернік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О. Організаційні особливості процесу фізичного виховання у вищих навчальних закладах України / </w:t>
      </w: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Ківернік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О., Городянський С., </w:t>
      </w: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Пітин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М. // Слобожанський науково-спортивний вісник. – Х., 2008. - №.1-2. − С.20-22</w:t>
      </w:r>
    </w:p>
    <w:p w:rsidR="00372459" w:rsidRPr="00BB3922" w:rsidRDefault="00372459" w:rsidP="0037245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Латенко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С.Б. Студентський спорт як засіб формування життєвих цінностей молоді і розвитку здорової особистості / </w:t>
      </w: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Латенко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С.Б., </w:t>
      </w: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Копочинська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Ю.В. // Вісник Чернігівського державного педагогічного університету ім. Т.Г. Шевченка. Серія: Педагогічні науки. Фізичне виховання та спорт. – Чернігів, 2015. – Вип. 129, т. 3. – С. 195−198.</w:t>
      </w:r>
    </w:p>
    <w:p w:rsidR="00372459" w:rsidRPr="00BB3922" w:rsidRDefault="00372459" w:rsidP="00372459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Мельник М. </w:t>
      </w:r>
      <w:r w:rsidRPr="00BB392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Особливості системи підготовки в студентському спорті України</w:t>
      </w:r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/ М. Мельник, М. </w:t>
      </w: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Пітин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// Спортивний вісник Придніпров'я: </w:t>
      </w: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наук.-практ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. журнал. – Дніпропетровськ. – С. 70–73. – Режим доступу: </w:t>
      </w:r>
      <w:hyperlink r:id="rId5" w:history="1">
        <w:r w:rsidRPr="00BB3922">
          <w:rPr>
            <w:rStyle w:val="a6"/>
            <w:rFonts w:ascii="Times New Roman" w:eastAsia="TimesNewRomanPSMT" w:hAnsi="Times New Roman" w:cs="Times New Roman"/>
            <w:sz w:val="28"/>
            <w:szCs w:val="28"/>
            <w:lang w:val="uk-UA" w:eastAsia="en-US"/>
          </w:rPr>
          <w:t>http://www.infiz.dp.ua/joomla/media/sport-visnik-pred/2015-03/2015-03-15.pdf</w:t>
        </w:r>
      </w:hyperlink>
    </w:p>
    <w:p w:rsidR="00DE59D3" w:rsidRPr="00BB3922" w:rsidRDefault="00DE59D3" w:rsidP="00B44C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</w:p>
    <w:p w:rsidR="00963D34" w:rsidRPr="00BB3922" w:rsidRDefault="00963D34" w:rsidP="00B44C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</w:p>
    <w:p w:rsidR="00484F4D" w:rsidRPr="00BB3922" w:rsidRDefault="00484F4D" w:rsidP="00484F4D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4"/>
          <w:b/>
          <w:bCs/>
          <w:caps/>
          <w:sz w:val="28"/>
          <w:szCs w:val="28"/>
          <w:lang w:val="uk-UA"/>
        </w:rPr>
      </w:pPr>
    </w:p>
    <w:p w:rsidR="0044603F" w:rsidRPr="00BB3922" w:rsidRDefault="0044603F" w:rsidP="000157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sectPr w:rsidR="0044603F" w:rsidRPr="00BB3922" w:rsidSect="00015772">
      <w:pgSz w:w="11906" w:h="16838"/>
      <w:pgMar w:top="1134" w:right="28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C03"/>
    <w:multiLevelType w:val="hybridMultilevel"/>
    <w:tmpl w:val="219E0014"/>
    <w:lvl w:ilvl="0" w:tplc="8A5462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A0"/>
    <w:multiLevelType w:val="hybridMultilevel"/>
    <w:tmpl w:val="511C13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275E"/>
    <w:multiLevelType w:val="hybridMultilevel"/>
    <w:tmpl w:val="8A4E76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6C203B5"/>
    <w:multiLevelType w:val="hybridMultilevel"/>
    <w:tmpl w:val="B1FC9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37067"/>
    <w:multiLevelType w:val="hybridMultilevel"/>
    <w:tmpl w:val="B2F6F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7A6D38A">
      <w:start w:val="1"/>
      <w:numFmt w:val="decimal"/>
      <w:lvlText w:val="%2."/>
      <w:lvlJc w:val="left"/>
      <w:pPr>
        <w:ind w:left="1890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3A75E5"/>
    <w:multiLevelType w:val="hybridMultilevel"/>
    <w:tmpl w:val="4A1A5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E76DA"/>
    <w:multiLevelType w:val="hybridMultilevel"/>
    <w:tmpl w:val="B1FC9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C7120"/>
    <w:multiLevelType w:val="hybridMultilevel"/>
    <w:tmpl w:val="2E8CF6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8D1B37"/>
    <w:multiLevelType w:val="hybridMultilevel"/>
    <w:tmpl w:val="68DE7E6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B06037"/>
    <w:multiLevelType w:val="hybridMultilevel"/>
    <w:tmpl w:val="D6006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A60D5"/>
    <w:multiLevelType w:val="hybridMultilevel"/>
    <w:tmpl w:val="E5547466"/>
    <w:lvl w:ilvl="0" w:tplc="67A006B0">
      <w:start w:val="1"/>
      <w:numFmt w:val="decimal"/>
      <w:lvlText w:val="%1."/>
      <w:lvlJc w:val="left"/>
      <w:pPr>
        <w:ind w:left="98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1">
    <w:nsid w:val="1DD0723A"/>
    <w:multiLevelType w:val="hybridMultilevel"/>
    <w:tmpl w:val="BC4A0D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87A82"/>
    <w:multiLevelType w:val="hybridMultilevel"/>
    <w:tmpl w:val="35961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EEB4D01"/>
    <w:multiLevelType w:val="hybridMultilevel"/>
    <w:tmpl w:val="CB8EB1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CE35AE"/>
    <w:multiLevelType w:val="hybridMultilevel"/>
    <w:tmpl w:val="087A6D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76DCF"/>
    <w:multiLevelType w:val="hybridMultilevel"/>
    <w:tmpl w:val="E542B1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82FFC"/>
    <w:multiLevelType w:val="hybridMultilevel"/>
    <w:tmpl w:val="BFA00D5A"/>
    <w:lvl w:ilvl="0" w:tplc="12FE1E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878E0"/>
    <w:multiLevelType w:val="hybridMultilevel"/>
    <w:tmpl w:val="01C06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D20F65"/>
    <w:multiLevelType w:val="hybridMultilevel"/>
    <w:tmpl w:val="7A4AEE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1B22867"/>
    <w:multiLevelType w:val="hybridMultilevel"/>
    <w:tmpl w:val="68D66B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5460281"/>
    <w:multiLevelType w:val="hybridMultilevel"/>
    <w:tmpl w:val="1CB0EAE8"/>
    <w:lvl w:ilvl="0" w:tplc="654CB0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6E376E"/>
    <w:multiLevelType w:val="hybridMultilevel"/>
    <w:tmpl w:val="6E9E1C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FA572F"/>
    <w:multiLevelType w:val="multilevel"/>
    <w:tmpl w:val="F510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934D8B"/>
    <w:multiLevelType w:val="multilevel"/>
    <w:tmpl w:val="2CB8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EA1C75"/>
    <w:multiLevelType w:val="multilevel"/>
    <w:tmpl w:val="C6C8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16984"/>
    <w:multiLevelType w:val="multilevel"/>
    <w:tmpl w:val="58C6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316BBD"/>
    <w:multiLevelType w:val="hybridMultilevel"/>
    <w:tmpl w:val="08CCD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EB2130"/>
    <w:multiLevelType w:val="hybridMultilevel"/>
    <w:tmpl w:val="F99A0B02"/>
    <w:lvl w:ilvl="0" w:tplc="44D62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1542A"/>
    <w:multiLevelType w:val="hybridMultilevel"/>
    <w:tmpl w:val="0F5A2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3A0611"/>
    <w:multiLevelType w:val="hybridMultilevel"/>
    <w:tmpl w:val="D41267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E28CB"/>
    <w:multiLevelType w:val="hybridMultilevel"/>
    <w:tmpl w:val="690ECD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E3E0E"/>
    <w:multiLevelType w:val="hybridMultilevel"/>
    <w:tmpl w:val="C04A4B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46F15"/>
    <w:multiLevelType w:val="hybridMultilevel"/>
    <w:tmpl w:val="94AA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1513C"/>
    <w:multiLevelType w:val="hybridMultilevel"/>
    <w:tmpl w:val="81D693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D038D1"/>
    <w:multiLevelType w:val="multilevel"/>
    <w:tmpl w:val="CA7A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"/>
  </w:num>
  <w:num w:numId="3">
    <w:abstractNumId w:val="7"/>
  </w:num>
  <w:num w:numId="4">
    <w:abstractNumId w:val="20"/>
  </w:num>
  <w:num w:numId="5">
    <w:abstractNumId w:val="3"/>
  </w:num>
  <w:num w:numId="6">
    <w:abstractNumId w:val="25"/>
  </w:num>
  <w:num w:numId="7">
    <w:abstractNumId w:val="24"/>
  </w:num>
  <w:num w:numId="8">
    <w:abstractNumId w:val="33"/>
  </w:num>
  <w:num w:numId="9">
    <w:abstractNumId w:val="21"/>
  </w:num>
  <w:num w:numId="10">
    <w:abstractNumId w:val="23"/>
  </w:num>
  <w:num w:numId="11">
    <w:abstractNumId w:val="12"/>
  </w:num>
  <w:num w:numId="12">
    <w:abstractNumId w:val="18"/>
  </w:num>
  <w:num w:numId="13">
    <w:abstractNumId w:val="19"/>
  </w:num>
  <w:num w:numId="14">
    <w:abstractNumId w:val="10"/>
  </w:num>
  <w:num w:numId="15">
    <w:abstractNumId w:val="6"/>
  </w:num>
  <w:num w:numId="16">
    <w:abstractNumId w:val="34"/>
  </w:num>
  <w:num w:numId="17">
    <w:abstractNumId w:val="22"/>
  </w:num>
  <w:num w:numId="18">
    <w:abstractNumId w:val="8"/>
  </w:num>
  <w:num w:numId="19">
    <w:abstractNumId w:val="5"/>
  </w:num>
  <w:num w:numId="20">
    <w:abstractNumId w:val="4"/>
  </w:num>
  <w:num w:numId="21">
    <w:abstractNumId w:val="16"/>
  </w:num>
  <w:num w:numId="22">
    <w:abstractNumId w:val="27"/>
  </w:num>
  <w:num w:numId="23">
    <w:abstractNumId w:val="0"/>
  </w:num>
  <w:num w:numId="24">
    <w:abstractNumId w:val="11"/>
  </w:num>
  <w:num w:numId="25">
    <w:abstractNumId w:val="14"/>
  </w:num>
  <w:num w:numId="26">
    <w:abstractNumId w:val="15"/>
  </w:num>
  <w:num w:numId="27">
    <w:abstractNumId w:val="31"/>
  </w:num>
  <w:num w:numId="28">
    <w:abstractNumId w:val="30"/>
  </w:num>
  <w:num w:numId="29">
    <w:abstractNumId w:val="1"/>
  </w:num>
  <w:num w:numId="30">
    <w:abstractNumId w:val="29"/>
  </w:num>
  <w:num w:numId="31">
    <w:abstractNumId w:val="13"/>
  </w:num>
  <w:num w:numId="32">
    <w:abstractNumId w:val="26"/>
  </w:num>
  <w:num w:numId="33">
    <w:abstractNumId w:val="17"/>
  </w:num>
  <w:num w:numId="34">
    <w:abstractNumId w:val="32"/>
  </w:num>
  <w:num w:numId="35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971"/>
    <w:rsid w:val="00015772"/>
    <w:rsid w:val="000378F3"/>
    <w:rsid w:val="00051FD2"/>
    <w:rsid w:val="00064DA4"/>
    <w:rsid w:val="00091CE2"/>
    <w:rsid w:val="00093D6C"/>
    <w:rsid w:val="000D3E67"/>
    <w:rsid w:val="000E7090"/>
    <w:rsid w:val="001016CC"/>
    <w:rsid w:val="00130ECF"/>
    <w:rsid w:val="001459C7"/>
    <w:rsid w:val="001506D4"/>
    <w:rsid w:val="00160897"/>
    <w:rsid w:val="00161519"/>
    <w:rsid w:val="001A0A8F"/>
    <w:rsid w:val="001C22A3"/>
    <w:rsid w:val="001E1B1B"/>
    <w:rsid w:val="002046B7"/>
    <w:rsid w:val="00204848"/>
    <w:rsid w:val="00280087"/>
    <w:rsid w:val="00286A38"/>
    <w:rsid w:val="00297FCC"/>
    <w:rsid w:val="002B4CF8"/>
    <w:rsid w:val="002B6A3C"/>
    <w:rsid w:val="00306177"/>
    <w:rsid w:val="00306A49"/>
    <w:rsid w:val="00355A33"/>
    <w:rsid w:val="00372459"/>
    <w:rsid w:val="00394B87"/>
    <w:rsid w:val="00396F51"/>
    <w:rsid w:val="003F0D5E"/>
    <w:rsid w:val="003F2582"/>
    <w:rsid w:val="00404244"/>
    <w:rsid w:val="004375A1"/>
    <w:rsid w:val="0044603F"/>
    <w:rsid w:val="004639CB"/>
    <w:rsid w:val="00484F4D"/>
    <w:rsid w:val="004876AB"/>
    <w:rsid w:val="004D1DEB"/>
    <w:rsid w:val="005006B9"/>
    <w:rsid w:val="0053382D"/>
    <w:rsid w:val="005667A8"/>
    <w:rsid w:val="00575891"/>
    <w:rsid w:val="005832C3"/>
    <w:rsid w:val="0059715D"/>
    <w:rsid w:val="005B0106"/>
    <w:rsid w:val="005C4AA4"/>
    <w:rsid w:val="005C7BC2"/>
    <w:rsid w:val="005F4475"/>
    <w:rsid w:val="006226AF"/>
    <w:rsid w:val="00623222"/>
    <w:rsid w:val="00650CEB"/>
    <w:rsid w:val="00671650"/>
    <w:rsid w:val="00675E44"/>
    <w:rsid w:val="006B2BBA"/>
    <w:rsid w:val="006B45AD"/>
    <w:rsid w:val="006C0541"/>
    <w:rsid w:val="006E25CB"/>
    <w:rsid w:val="006F26CA"/>
    <w:rsid w:val="00732A24"/>
    <w:rsid w:val="00742BAA"/>
    <w:rsid w:val="00751936"/>
    <w:rsid w:val="00755BD4"/>
    <w:rsid w:val="007803D8"/>
    <w:rsid w:val="007933CC"/>
    <w:rsid w:val="008064E4"/>
    <w:rsid w:val="00817416"/>
    <w:rsid w:val="00820B8E"/>
    <w:rsid w:val="00843E7C"/>
    <w:rsid w:val="00862981"/>
    <w:rsid w:val="00884E2F"/>
    <w:rsid w:val="008B2722"/>
    <w:rsid w:val="008B4DEB"/>
    <w:rsid w:val="008F64C7"/>
    <w:rsid w:val="008F67A5"/>
    <w:rsid w:val="00906538"/>
    <w:rsid w:val="00914429"/>
    <w:rsid w:val="00944971"/>
    <w:rsid w:val="00963D34"/>
    <w:rsid w:val="0096430F"/>
    <w:rsid w:val="00966834"/>
    <w:rsid w:val="00982F71"/>
    <w:rsid w:val="00985E1C"/>
    <w:rsid w:val="009A17EE"/>
    <w:rsid w:val="009D6DBF"/>
    <w:rsid w:val="009E551A"/>
    <w:rsid w:val="009F5995"/>
    <w:rsid w:val="009F6ED7"/>
    <w:rsid w:val="00A01731"/>
    <w:rsid w:val="00A163B5"/>
    <w:rsid w:val="00A427A0"/>
    <w:rsid w:val="00A47695"/>
    <w:rsid w:val="00A76B43"/>
    <w:rsid w:val="00A8537A"/>
    <w:rsid w:val="00A9422E"/>
    <w:rsid w:val="00A966D6"/>
    <w:rsid w:val="00AA0812"/>
    <w:rsid w:val="00AB397F"/>
    <w:rsid w:val="00AC6EA5"/>
    <w:rsid w:val="00B02D0D"/>
    <w:rsid w:val="00B24DC8"/>
    <w:rsid w:val="00B44C70"/>
    <w:rsid w:val="00B521F6"/>
    <w:rsid w:val="00B5278E"/>
    <w:rsid w:val="00BB3922"/>
    <w:rsid w:val="00BE1865"/>
    <w:rsid w:val="00C11EE1"/>
    <w:rsid w:val="00C4666C"/>
    <w:rsid w:val="00C513E5"/>
    <w:rsid w:val="00C55376"/>
    <w:rsid w:val="00C602F7"/>
    <w:rsid w:val="00C62CC3"/>
    <w:rsid w:val="00C747AD"/>
    <w:rsid w:val="00C90DA3"/>
    <w:rsid w:val="00CC3F54"/>
    <w:rsid w:val="00CE0E74"/>
    <w:rsid w:val="00D54E89"/>
    <w:rsid w:val="00D60C53"/>
    <w:rsid w:val="00D61AD0"/>
    <w:rsid w:val="00D93003"/>
    <w:rsid w:val="00DA5D4B"/>
    <w:rsid w:val="00DB026C"/>
    <w:rsid w:val="00DB616E"/>
    <w:rsid w:val="00DE59D3"/>
    <w:rsid w:val="00E01830"/>
    <w:rsid w:val="00E75C7B"/>
    <w:rsid w:val="00E838B1"/>
    <w:rsid w:val="00E976ED"/>
    <w:rsid w:val="00ED3FE6"/>
    <w:rsid w:val="00F01A96"/>
    <w:rsid w:val="00F42F38"/>
    <w:rsid w:val="00F438E9"/>
    <w:rsid w:val="00F504CC"/>
    <w:rsid w:val="00F81DC8"/>
    <w:rsid w:val="00F929F7"/>
    <w:rsid w:val="00FB0053"/>
    <w:rsid w:val="00FB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fuchsia,#00c0bc,#00fef8,#fcd6b6,#faba86"/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4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4497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449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49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3">
    <w:name w:val="Лекция"/>
    <w:basedOn w:val="1"/>
    <w:rsid w:val="00944971"/>
    <w:pPr>
      <w:keepLines w:val="0"/>
      <w:spacing w:before="0"/>
      <w:jc w:val="center"/>
    </w:pPr>
    <w:rPr>
      <w:rFonts w:ascii="Times New Roman" w:eastAsia="Times New Roman" w:hAnsi="Times New Roman" w:cs="Times New Roman"/>
      <w:iCs/>
      <w:caps/>
      <w:color w:val="000000"/>
      <w:sz w:val="32"/>
      <w:szCs w:val="32"/>
    </w:rPr>
  </w:style>
  <w:style w:type="paragraph" w:customStyle="1" w:styleId="a4">
    <w:name w:val="подзаголовок лекции"/>
    <w:basedOn w:val="a"/>
    <w:rsid w:val="00944971"/>
    <w:pPr>
      <w:widowControl w:val="0"/>
      <w:shd w:val="clear" w:color="auto" w:fill="FFFFFF"/>
      <w:autoSpaceDE w:val="0"/>
      <w:autoSpaceDN w:val="0"/>
      <w:adjustRightInd w:val="0"/>
      <w:spacing w:after="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944971"/>
    <w:pPr>
      <w:ind w:left="720"/>
      <w:contextualSpacing/>
    </w:pPr>
  </w:style>
  <w:style w:type="character" w:customStyle="1" w:styleId="rvts0">
    <w:name w:val="rvts0"/>
    <w:basedOn w:val="a0"/>
    <w:uiPriority w:val="99"/>
    <w:rsid w:val="00944971"/>
    <w:rPr>
      <w:rFonts w:cs="Times New Roman"/>
    </w:rPr>
  </w:style>
  <w:style w:type="paragraph" w:customStyle="1" w:styleId="rvps2">
    <w:name w:val="rvps2"/>
    <w:basedOn w:val="a"/>
    <w:uiPriority w:val="99"/>
    <w:rsid w:val="0094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944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9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basedOn w:val="a0"/>
    <w:rsid w:val="00944971"/>
  </w:style>
  <w:style w:type="character" w:styleId="a6">
    <w:name w:val="Hyperlink"/>
    <w:uiPriority w:val="99"/>
    <w:rsid w:val="009449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4971"/>
  </w:style>
  <w:style w:type="paragraph" w:styleId="a7">
    <w:name w:val="Normal (Web)"/>
    <w:basedOn w:val="a"/>
    <w:uiPriority w:val="99"/>
    <w:unhideWhenUsed/>
    <w:rsid w:val="0094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44971"/>
    <w:pPr>
      <w:spacing w:after="0" w:line="240" w:lineRule="auto"/>
      <w:ind w:firstLine="62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basedOn w:val="a0"/>
    <w:link w:val="a8"/>
    <w:uiPriority w:val="1"/>
    <w:rsid w:val="00944971"/>
    <w:rPr>
      <w:rFonts w:ascii="Times New Roman" w:eastAsia="Calibri" w:hAnsi="Times New Roman" w:cs="Times New Roman"/>
      <w:sz w:val="28"/>
      <w:szCs w:val="28"/>
    </w:rPr>
  </w:style>
  <w:style w:type="character" w:customStyle="1" w:styleId="FontStyle19">
    <w:name w:val="Font Style19"/>
    <w:basedOn w:val="a0"/>
    <w:uiPriority w:val="99"/>
    <w:rsid w:val="009449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94497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944971"/>
    <w:rPr>
      <w:rFonts w:ascii="Times New Roman" w:hAnsi="Times New Roman" w:cs="Times New Roman" w:hint="default"/>
      <w:i/>
      <w:i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497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4971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449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449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449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944971"/>
    <w:pPr>
      <w:spacing w:after="0" w:line="240" w:lineRule="auto"/>
      <w:ind w:left="720" w:firstLine="69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9449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44971"/>
    <w:pPr>
      <w:widowControl w:val="0"/>
      <w:spacing w:after="0" w:line="260" w:lineRule="auto"/>
      <w:ind w:left="240" w:right="600"/>
      <w:jc w:val="center"/>
    </w:pPr>
    <w:rPr>
      <w:rFonts w:ascii="Arial" w:eastAsia="Times New Roman" w:hAnsi="Arial" w:cs="Times New Roman"/>
      <w:b/>
      <w:i/>
      <w:snapToGrid w:val="0"/>
      <w:sz w:val="28"/>
      <w:szCs w:val="20"/>
      <w:lang w:val="uk-UA" w:eastAsia="ru-RU"/>
    </w:rPr>
  </w:style>
  <w:style w:type="paragraph" w:styleId="23">
    <w:name w:val="Body Text 2"/>
    <w:aliases w:val=" Знак2"/>
    <w:basedOn w:val="a"/>
    <w:link w:val="24"/>
    <w:rsid w:val="00944971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aliases w:val=" Знак2 Знак"/>
    <w:basedOn w:val="a0"/>
    <w:link w:val="23"/>
    <w:rsid w:val="00944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944971"/>
    <w:pPr>
      <w:widowControl w:val="0"/>
      <w:spacing w:before="420" w:after="0" w:line="420" w:lineRule="auto"/>
      <w:ind w:left="200"/>
      <w:jc w:val="right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FR3">
    <w:name w:val="FR3"/>
    <w:rsid w:val="00944971"/>
    <w:pPr>
      <w:widowControl w:val="0"/>
      <w:spacing w:before="40" w:after="0" w:line="240" w:lineRule="auto"/>
      <w:ind w:left="136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4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4971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944971"/>
    <w:pPr>
      <w:spacing w:after="120"/>
    </w:pPr>
  </w:style>
  <w:style w:type="character" w:customStyle="1" w:styleId="af2">
    <w:name w:val="Основной текст Знак"/>
    <w:basedOn w:val="a0"/>
    <w:link w:val="af1"/>
    <w:rsid w:val="00944971"/>
    <w:rPr>
      <w:rFonts w:eastAsiaTheme="minorEastAsia"/>
      <w:lang w:eastAsia="ru-RU"/>
    </w:rPr>
  </w:style>
  <w:style w:type="character" w:styleId="af3">
    <w:name w:val="Strong"/>
    <w:basedOn w:val="a0"/>
    <w:uiPriority w:val="22"/>
    <w:qFormat/>
    <w:rsid w:val="00944971"/>
    <w:rPr>
      <w:b/>
      <w:bCs/>
    </w:rPr>
  </w:style>
  <w:style w:type="character" w:styleId="af4">
    <w:name w:val="Emphasis"/>
    <w:basedOn w:val="a0"/>
    <w:uiPriority w:val="20"/>
    <w:qFormat/>
    <w:rsid w:val="00944971"/>
    <w:rPr>
      <w:i/>
      <w:iCs/>
    </w:rPr>
  </w:style>
  <w:style w:type="character" w:customStyle="1" w:styleId="addmd">
    <w:name w:val="addmd"/>
    <w:basedOn w:val="a0"/>
    <w:rsid w:val="00742BAA"/>
  </w:style>
  <w:style w:type="character" w:styleId="HTML1">
    <w:name w:val="HTML Definition"/>
    <w:basedOn w:val="a0"/>
    <w:uiPriority w:val="99"/>
    <w:semiHidden/>
    <w:unhideWhenUsed/>
    <w:rsid w:val="00DA5D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iz.dp.ua/joomla/media/sport-visnik-pred/2015-03/2015-03-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5888</TotalTime>
  <Pages>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84</cp:revision>
  <dcterms:created xsi:type="dcterms:W3CDTF">2017-08-24T08:09:00Z</dcterms:created>
  <dcterms:modified xsi:type="dcterms:W3CDTF">2017-09-19T12:39:00Z</dcterms:modified>
</cp:coreProperties>
</file>