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56" w:rsidRPr="00CA0867" w:rsidRDefault="001F2C56" w:rsidP="001F2C56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МІНІСТЕРСТВО</w:t>
      </w:r>
      <w:proofErr w:type="spellEnd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ОСВІТИ</w:t>
      </w:r>
      <w:proofErr w:type="spellEnd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І НАУКИ </w:t>
      </w: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УКРАЇНИ</w:t>
      </w:r>
      <w:proofErr w:type="spellEnd"/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ЗАПОРІЗЬКИЙ</w:t>
      </w:r>
      <w:proofErr w:type="spellEnd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НАЦІОНАЛЬНИЙ</w:t>
      </w:r>
      <w:proofErr w:type="spellEnd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CA0867">
        <w:rPr>
          <w:rFonts w:ascii="Times New Roman" w:eastAsia="Calibri" w:hAnsi="Times New Roman" w:cs="Times New Roman"/>
          <w:sz w:val="24"/>
          <w:szCs w:val="28"/>
          <w:lang w:eastAsia="ar-SA"/>
        </w:rPr>
        <w:t>УНІВЕРСИТЕТ</w:t>
      </w:r>
      <w:proofErr w:type="spellEnd"/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8"/>
          <w:lang w:eastAsia="ar-SA"/>
        </w:rPr>
      </w:pPr>
      <w:r w:rsidRPr="00CA0867">
        <w:rPr>
          <w:rFonts w:ascii="Times New Roman" w:eastAsia="Calibri" w:hAnsi="Times New Roman" w:cs="Times New Roman"/>
          <w:caps/>
          <w:sz w:val="24"/>
          <w:szCs w:val="28"/>
          <w:lang w:eastAsia="ar-SA"/>
        </w:rPr>
        <w:t xml:space="preserve">Факультет </w:t>
      </w:r>
      <w:proofErr w:type="spellStart"/>
      <w:r w:rsidRPr="00CA0867">
        <w:rPr>
          <w:rFonts w:ascii="Times New Roman" w:eastAsia="Calibri" w:hAnsi="Times New Roman" w:cs="Times New Roman"/>
          <w:caps/>
          <w:sz w:val="24"/>
          <w:szCs w:val="28"/>
          <w:lang w:eastAsia="ar-SA"/>
        </w:rPr>
        <w:t>журналістики</w:t>
      </w:r>
      <w:proofErr w:type="spellEnd"/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  <w:r w:rsidRPr="00CA0867">
        <w:rPr>
          <w:rFonts w:ascii="Times New Roman" w:eastAsia="Calibri" w:hAnsi="Times New Roman" w:cs="Times New Roman"/>
          <w:caps/>
          <w:sz w:val="24"/>
          <w:szCs w:val="24"/>
          <w:lang w:eastAsia="ar-SA"/>
        </w:rPr>
        <w:t>Кафедра</w:t>
      </w:r>
      <w:r w:rsidRPr="00CA086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СОЦІАЛЬНИХ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КОМУНІКАЦІЙ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ТА ІНФОРМАЦІЙНОЇ ДІЯЛЬНОСТІ</w:t>
      </w: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A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</w:t>
      </w:r>
      <w:proofErr w:type="spellStart"/>
      <w:r w:rsidRPr="00CA086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ЗАТВЕРДЖУЮ</w:t>
      </w:r>
      <w:proofErr w:type="spellEnd"/>
    </w:p>
    <w:p w:rsidR="001F2C56" w:rsidRPr="00CA0867" w:rsidRDefault="001F2C56" w:rsidP="001F2C56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CA0867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Декан факультету журналістики</w:t>
      </w:r>
    </w:p>
    <w:p w:rsidR="001F2C56" w:rsidRPr="00CA0867" w:rsidRDefault="001F2C56" w:rsidP="001F2C56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CA0867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                          В. В. Костюк </w:t>
      </w:r>
    </w:p>
    <w:p w:rsidR="001F2C56" w:rsidRPr="00CA0867" w:rsidRDefault="001F2C56" w:rsidP="001F2C56">
      <w:pPr>
        <w:suppressAutoHyphens/>
        <w:spacing w:after="0" w:line="240" w:lineRule="auto"/>
        <w:ind w:left="5400"/>
        <w:rPr>
          <w:rFonts w:ascii="Times New Roman" w:eastAsia="Calibri" w:hAnsi="Times New Roman" w:cs="Times New Roman"/>
          <w:sz w:val="16"/>
          <w:szCs w:val="24"/>
          <w:lang w:val="uk-UA" w:eastAsia="ar-SA"/>
        </w:rPr>
      </w:pPr>
      <w:r w:rsidRPr="00CA0867">
        <w:rPr>
          <w:rFonts w:ascii="Times New Roman" w:eastAsia="Calibri" w:hAnsi="Times New Roman" w:cs="Times New Roman"/>
          <w:sz w:val="16"/>
          <w:szCs w:val="24"/>
          <w:lang w:val="uk-UA" w:eastAsia="ar-SA"/>
        </w:rPr>
        <w:t xml:space="preserve">   </w:t>
      </w:r>
    </w:p>
    <w:p w:rsidR="001F2C56" w:rsidRPr="00CA0867" w:rsidRDefault="001F2C56" w:rsidP="001F2C5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CA0867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«______»_______________2021</w:t>
      </w:r>
    </w:p>
    <w:p w:rsidR="001F2C56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 w:eastAsia="ar-SA"/>
        </w:rPr>
      </w:pPr>
    </w:p>
    <w:p w:rsidR="001F2C56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ПЕРСОНАЛЬНИЙ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ІМІДЖМЕЙКІНГ</w:t>
      </w:r>
      <w:proofErr w:type="spellEnd"/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</w:pPr>
      <w:r w:rsidRPr="00CA0867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 xml:space="preserve">РОБОЧА ПРОГРАМА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 xml:space="preserve">ВИБІРКОВОЇ </w:t>
      </w:r>
      <w:r w:rsidRPr="00CA0867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НАВЧАЛЬНОЇ ДИСЦИПЛІНИ</w:t>
      </w:r>
      <w:r w:rsidRPr="00CA0867">
        <w:rPr>
          <w:rFonts w:ascii="Times New Roman" w:eastAsia="Calibri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1F2C56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CA086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підготовки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магістра</w:t>
      </w: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uk-UA" w:eastAsia="ar-SA"/>
        </w:rPr>
      </w:pPr>
      <w:r w:rsidRPr="00CA0867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очної (денної) та заочної (дистанційної) форм здобуття освіти</w:t>
      </w:r>
    </w:p>
    <w:p w:rsidR="001F2C56" w:rsidRPr="00CC4B31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Укладачка: Бондаренко </w:t>
      </w:r>
      <w:proofErr w:type="spellStart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І.С</w:t>
      </w:r>
      <w:proofErr w:type="spellEnd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., к. </w:t>
      </w:r>
      <w:proofErr w:type="spellStart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філол</w:t>
      </w:r>
      <w:proofErr w:type="spellEnd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. н., доцент</w:t>
      </w: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1F2C56" w:rsidRPr="00CA0867" w:rsidTr="002120A7">
        <w:tc>
          <w:tcPr>
            <w:tcW w:w="4826" w:type="dxa"/>
          </w:tcPr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соціальних комунікацій та інформаційної діяльності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1 від “30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серпня 2021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Завідувач кафедри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соціальних 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комунікацій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та інформаційної діяльності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_______________     В. В. </w:t>
            </w:r>
            <w:proofErr w:type="spellStart"/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Березенко</w:t>
            </w:r>
            <w:proofErr w:type="spellEnd"/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</w:p>
        </w:tc>
        <w:tc>
          <w:tcPr>
            <w:tcW w:w="4745" w:type="dxa"/>
          </w:tcPr>
          <w:p w:rsidR="001F2C56" w:rsidRPr="00CA0867" w:rsidRDefault="001F2C56" w:rsidP="002120A7">
            <w:pPr>
              <w:suppressAutoHyphens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факультету журналістики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1 від  “31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серпня 2021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Голова науково-методичної ради факультету журналістики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________________       Н. В. Романюк 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F2C56" w:rsidRPr="00CA0867" w:rsidTr="002120A7">
        <w:trPr>
          <w:trHeight w:val="1477"/>
        </w:trPr>
        <w:tc>
          <w:tcPr>
            <w:tcW w:w="4785" w:type="dxa"/>
          </w:tcPr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86" w:type="dxa"/>
          </w:tcPr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Погоджено  з навчальною лабораторією інформаційного забезпечення освітнього процесу</w:t>
            </w:r>
          </w:p>
          <w:p w:rsidR="001F2C56" w:rsidRPr="00CA0867" w:rsidRDefault="001F2C56" w:rsidP="002120A7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1F2C56" w:rsidRPr="00CA0867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1F2C56" w:rsidRPr="00CA0867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2021</w:t>
      </w: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рік</w:t>
      </w:r>
    </w:p>
    <w:p w:rsidR="001F2C56" w:rsidRDefault="001F2C56" w:rsidP="001F2C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F2C56" w:rsidRPr="00F46412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F46412"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 w:eastAsia="ar-SA"/>
        </w:rPr>
        <w:lastRenderedPageBreak/>
        <w:t xml:space="preserve">1. </w:t>
      </w:r>
      <w:r w:rsidRPr="00F4641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1F2C56" w:rsidRPr="00F46412" w:rsidTr="002120A7">
        <w:trPr>
          <w:trHeight w:val="110"/>
        </w:trPr>
        <w:tc>
          <w:tcPr>
            <w:tcW w:w="3119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976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1F2C56" w:rsidRPr="00F46412" w:rsidTr="002120A7">
        <w:trPr>
          <w:trHeight w:val="671"/>
        </w:trPr>
        <w:tc>
          <w:tcPr>
            <w:tcW w:w="3119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спеціальність,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освітня програма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1F2C56" w:rsidRPr="00F46412" w:rsidTr="002120A7">
        <w:trPr>
          <w:trHeight w:val="643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3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заочна (дистанційна)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форма здобуття освіти</w:t>
            </w:r>
          </w:p>
        </w:tc>
      </w:tr>
      <w:tr w:rsidR="001F2C56" w:rsidRPr="00F46412" w:rsidTr="002120A7">
        <w:trPr>
          <w:trHeight w:val="365"/>
        </w:trPr>
        <w:tc>
          <w:tcPr>
            <w:tcW w:w="3119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Кількість кредитів – 3 </w:t>
            </w: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Обов’язкова</w:t>
            </w: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  </w:t>
            </w:r>
          </w:p>
        </w:tc>
      </w:tr>
      <w:tr w:rsidR="001F2C56" w:rsidRPr="00F46412" w:rsidTr="002120A7">
        <w:trPr>
          <w:trHeight w:val="480"/>
        </w:trPr>
        <w:tc>
          <w:tcPr>
            <w:tcW w:w="3119" w:type="dxa"/>
            <w:vMerge/>
          </w:tcPr>
          <w:p w:rsidR="001F2C56" w:rsidRPr="00F46412" w:rsidRDefault="001F2C56" w:rsidP="002120A7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Цикл професійної підготовки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1F2C56" w:rsidRPr="00F46412" w:rsidTr="002120A7">
        <w:trPr>
          <w:trHeight w:val="631"/>
        </w:trPr>
        <w:tc>
          <w:tcPr>
            <w:tcW w:w="3119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Спеціальність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Загальна кількість годин – 90</w:t>
            </w: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Семестр: </w:t>
            </w:r>
          </w:p>
        </w:tc>
      </w:tr>
      <w:tr w:rsidR="001F2C56" w:rsidRPr="00F46412" w:rsidTr="002120A7">
        <w:trPr>
          <w:trHeight w:val="364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-й</w:t>
            </w:r>
          </w:p>
        </w:tc>
        <w:tc>
          <w:tcPr>
            <w:tcW w:w="1800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-й</w:t>
            </w:r>
          </w:p>
        </w:tc>
      </w:tr>
      <w:tr w:rsidR="001F2C56" w:rsidRPr="00F46412" w:rsidTr="002120A7">
        <w:trPr>
          <w:trHeight w:val="47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Змістових модулів – 4</w:t>
            </w: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1F2C56" w:rsidRPr="00F46412" w:rsidTr="002120A7">
        <w:trPr>
          <w:trHeight w:val="320"/>
        </w:trPr>
        <w:tc>
          <w:tcPr>
            <w:tcW w:w="3119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22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</w:tr>
      <w:tr w:rsidR="001F2C56" w:rsidRPr="00F46412" w:rsidTr="002120A7">
        <w:trPr>
          <w:trHeight w:val="1066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Практичні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1F2C56" w:rsidRPr="00F46412" w:rsidTr="002120A7">
        <w:trPr>
          <w:trHeight w:val="562"/>
        </w:trPr>
        <w:tc>
          <w:tcPr>
            <w:tcW w:w="3119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F4641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магістерський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 8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1F2C56" w:rsidRPr="00F46412" w:rsidTr="002120A7">
        <w:trPr>
          <w:trHeight w:val="138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1F2C56" w:rsidRPr="00F46412" w:rsidTr="002120A7">
        <w:trPr>
          <w:trHeight w:val="138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68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80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год.</w:t>
            </w:r>
          </w:p>
        </w:tc>
      </w:tr>
      <w:tr w:rsidR="001F2C56" w:rsidRPr="00F46412" w:rsidTr="002120A7">
        <w:trPr>
          <w:trHeight w:val="138"/>
        </w:trPr>
        <w:tc>
          <w:tcPr>
            <w:tcW w:w="3119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1F2C56" w:rsidRPr="00F46412" w:rsidRDefault="001F2C56" w:rsidP="001F2C5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</w:tbl>
    <w:p w:rsidR="001F2C56" w:rsidRPr="00F46412" w:rsidRDefault="001F2C56" w:rsidP="001F2C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1F2C56" w:rsidRPr="00F46412" w:rsidRDefault="001F2C56" w:rsidP="001F2C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F4641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2. Мета та завдання навчальної дисципліни</w:t>
      </w:r>
    </w:p>
    <w:p w:rsidR="001F2C56" w:rsidRDefault="001F2C56" w:rsidP="001F2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F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Метою</w:t>
      </w:r>
      <w:r w:rsidRPr="00EA3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викладання навчальної дисципліни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Персональний </w:t>
      </w:r>
      <w:proofErr w:type="spellStart"/>
      <w:r w:rsidRPr="00A06F05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міджмейкінг</w:t>
      </w:r>
      <w:proofErr w:type="spellEnd"/>
      <w:r w:rsidRPr="00EA3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A06F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засвоєння студентами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професійних технологій формування персонального іміджу.</w:t>
      </w:r>
    </w:p>
    <w:p w:rsidR="00511070" w:rsidRPr="00511070" w:rsidRDefault="001F2C56" w:rsidP="0051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Основними </w:t>
      </w:r>
      <w:r w:rsidRPr="00EA3F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завданнями</w:t>
      </w:r>
      <w:r w:rsidRPr="00EA3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вивчення дисципліни </w:t>
      </w:r>
      <w:r w:rsidRPr="001F2C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«Персональний </w:t>
      </w:r>
      <w:proofErr w:type="spellStart"/>
      <w:r w:rsidRPr="001F2C56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1F2C56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A3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ознайом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лення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основ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ними принципами </w:t>
      </w:r>
      <w:proofErr w:type="spellStart"/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іміджмейкінгу</w:t>
      </w:r>
      <w:proofErr w:type="spellEnd"/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 розумітися на технологіях створення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різновидів іміджів у 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системі сучасної комунікації; знати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специфіку індивідуального та професійного іміджів у різних сферах суспільного життя; 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оволодіти основними техніками й технологіями </w:t>
      </w:r>
      <w:proofErr w:type="spellStart"/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F2C56" w:rsidRPr="00F46412" w:rsidRDefault="001F2C56" w:rsidP="001F2C56">
      <w:p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6412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У результаті вивчення навчальної дисципліни студент повинен набути таких результатів навчання:</w:t>
      </w:r>
    </w:p>
    <w:p w:rsidR="00511070" w:rsidRPr="00511070" w:rsidRDefault="001F2C56" w:rsidP="005110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4B31">
        <w:rPr>
          <w:rFonts w:ascii="Times New Roman" w:eastAsia="Calibri" w:hAnsi="Times New Roman" w:cs="Times New Roman"/>
          <w:sz w:val="28"/>
          <w:szCs w:val="28"/>
          <w:lang w:val="uk-UA"/>
        </w:rPr>
        <w:t>знати</w:t>
      </w:r>
      <w:r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предмет </w:t>
      </w:r>
      <w:proofErr w:type="spellStart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іміджелогії</w:t>
      </w:r>
      <w:proofErr w:type="spellEnd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іміджмейкінгу</w:t>
      </w:r>
      <w:proofErr w:type="spellEnd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, роль та значимість позитивного і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міджу у діяльності організації; </w:t>
      </w:r>
      <w:proofErr w:type="spellStart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психотехнології</w:t>
      </w:r>
      <w:proofErr w:type="spellEnd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д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овіри аудиторії іміджу до </w:t>
      </w:r>
      <w:proofErr w:type="spellStart"/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імідже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формувальної</w:t>
      </w:r>
      <w:proofErr w:type="spellEnd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інформації;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зміст 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>комунікативної, інтерактивної й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перцептивної</w:t>
      </w:r>
      <w:proofErr w:type="spellEnd"/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функцій спілкування, що впливають на формування й сприйняття іміджевих характеристик;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закономірності формальних і неформальних, репутаційних, ділових та міжособистісних відносин;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види особистісного іміджу: вербального, ві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зуального, дзеркального та ін.;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основи формування професійного іміджу, 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іміджу лідера, іміджу керівника;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вербальні й невербальні засоби творення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особистісного й професійного іміджів;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eastAsia="Calibri" w:hAnsi="Times New Roman" w:cs="Times New Roman"/>
          <w:sz w:val="28"/>
          <w:szCs w:val="28"/>
          <w:lang w:val="uk-UA"/>
        </w:rPr>
        <w:t>стратегії взаємодії, механізми</w:t>
      </w:r>
      <w:r w:rsidR="00511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технології просування іміджу.</w:t>
      </w:r>
    </w:p>
    <w:p w:rsidR="001F2C56" w:rsidRPr="00511070" w:rsidRDefault="001F2C56" w:rsidP="0051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B3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уміти</w:t>
      </w:r>
      <w:r w:rsidRPr="00CC4B3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511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hAnsi="Times New Roman" w:cs="Times New Roman"/>
          <w:sz w:val="28"/>
          <w:szCs w:val="28"/>
          <w:lang w:val="uk-UA"/>
        </w:rPr>
        <w:t>виражати думки, ефективно чути й слухати партнера, встановлювати перший контакт;</w:t>
      </w:r>
      <w:r w:rsidR="00511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070" w:rsidRPr="00511070">
        <w:rPr>
          <w:rFonts w:ascii="Times New Roman" w:hAnsi="Times New Roman" w:cs="Times New Roman"/>
          <w:sz w:val="28"/>
          <w:szCs w:val="28"/>
          <w:lang w:val="uk-UA"/>
        </w:rPr>
        <w:t>розробляти й застосовувати конструктивні ко</w:t>
      </w:r>
      <w:r w:rsidR="00511070">
        <w:rPr>
          <w:rFonts w:ascii="Times New Roman" w:hAnsi="Times New Roman" w:cs="Times New Roman"/>
          <w:sz w:val="28"/>
          <w:szCs w:val="28"/>
          <w:lang w:val="uk-UA"/>
        </w:rPr>
        <w:t xml:space="preserve">мунікативні сценарії взаємодії; </w:t>
      </w:r>
      <w:r w:rsidR="00511070" w:rsidRPr="00511070">
        <w:rPr>
          <w:rFonts w:ascii="Times New Roman" w:hAnsi="Times New Roman" w:cs="Times New Roman"/>
          <w:sz w:val="28"/>
          <w:szCs w:val="28"/>
          <w:lang w:val="uk-UA"/>
        </w:rPr>
        <w:t>практично с</w:t>
      </w:r>
      <w:r w:rsidR="00511070">
        <w:rPr>
          <w:rFonts w:ascii="Times New Roman" w:hAnsi="Times New Roman" w:cs="Times New Roman"/>
          <w:sz w:val="28"/>
          <w:szCs w:val="28"/>
          <w:lang w:val="uk-UA"/>
        </w:rPr>
        <w:t>творювати будь-який вид іміджу; володіти різними формами само</w:t>
      </w:r>
      <w:r w:rsidR="00511070" w:rsidRPr="00511070">
        <w:rPr>
          <w:rFonts w:ascii="Times New Roman" w:hAnsi="Times New Roman" w:cs="Times New Roman"/>
          <w:sz w:val="28"/>
          <w:szCs w:val="28"/>
          <w:lang w:val="uk-UA"/>
        </w:rPr>
        <w:t>презентації.</w:t>
      </w:r>
      <w:r w:rsidRPr="00CC4B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871"/>
      </w:tblGrid>
      <w:tr w:rsidR="001F2C56" w:rsidRPr="00F46412" w:rsidTr="002120A7"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Заплановані робочою програмою результати навчання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та компетентності 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Методи і контрольні заходи</w:t>
            </w:r>
          </w:p>
        </w:tc>
      </w:tr>
      <w:tr w:rsidR="001F2C56" w:rsidRPr="00F46412" w:rsidTr="002120A7"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</w:tr>
      <w:tr w:rsidR="001F2C56" w:rsidRPr="00F46412" w:rsidTr="002120A7">
        <w:trPr>
          <w:trHeight w:val="187"/>
        </w:trPr>
        <w:tc>
          <w:tcPr>
            <w:tcW w:w="4052" w:type="dxa"/>
          </w:tcPr>
          <w:p w:rsidR="001F2C56" w:rsidRDefault="001F2C56" w:rsidP="002120A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Здатність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реалізувати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свої</w:t>
            </w:r>
            <w:proofErr w:type="spellEnd"/>
            <w:r>
              <w:rPr>
                <w:sz w:val="22"/>
                <w:szCs w:val="22"/>
              </w:rPr>
              <w:t xml:space="preserve"> права і </w:t>
            </w:r>
            <w:proofErr w:type="spellStart"/>
            <w:r>
              <w:rPr>
                <w:sz w:val="22"/>
                <w:szCs w:val="22"/>
              </w:rPr>
              <w:t>обов’язки</w:t>
            </w:r>
            <w:proofErr w:type="spellEnd"/>
            <w:r>
              <w:rPr>
                <w:sz w:val="22"/>
                <w:szCs w:val="22"/>
              </w:rPr>
              <w:t xml:space="preserve"> як члена </w:t>
            </w:r>
            <w:proofErr w:type="spellStart"/>
            <w:r>
              <w:rPr>
                <w:sz w:val="22"/>
                <w:szCs w:val="22"/>
              </w:rPr>
              <w:t>суспільства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усвідомлювати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цінності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громадянського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вільного</w:t>
            </w:r>
            <w:proofErr w:type="spellEnd"/>
            <w:r>
              <w:rPr>
                <w:sz w:val="22"/>
                <w:szCs w:val="22"/>
              </w:rPr>
              <w:t xml:space="preserve"> демократичного) </w:t>
            </w:r>
            <w:proofErr w:type="spellStart"/>
            <w:r>
              <w:rPr>
                <w:sz w:val="22"/>
                <w:szCs w:val="22"/>
              </w:rPr>
              <w:t>суспільства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необхідність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розвитку</w:t>
            </w:r>
            <w:proofErr w:type="spellEnd"/>
            <w:r>
              <w:rPr>
                <w:sz w:val="22"/>
                <w:szCs w:val="22"/>
              </w:rPr>
              <w:t xml:space="preserve">, верховенства права, прав і свобод </w:t>
            </w:r>
            <w:proofErr w:type="spellStart"/>
            <w:r>
              <w:rPr>
                <w:sz w:val="22"/>
                <w:szCs w:val="22"/>
              </w:rPr>
              <w:t>людини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громадянина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Україні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метод проблемного викладу, дослідницький метод, дискусії, ділова гра, круглі столи, методи моделювання проблемної ситуації. Конкретизація навчальних методів: моделювання типових ситуацій журналістської діяльності; використання кейс-методів (ситуаційні завдання); виконання групових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проєктів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; аналіз, синтез, порівняння, узагальнення явищ, фактів, закономірностей, викладених у різних джерелах інформації, з метою підготовки відповідей на поставлені напередодні запитання.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1893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Навички використання інформаційних і комунікаційних технологій.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опитування.</w:t>
            </w:r>
          </w:p>
        </w:tc>
      </w:tr>
      <w:tr w:rsidR="001F2C56" w:rsidRPr="00F46412" w:rsidTr="002120A7">
        <w:trPr>
          <w:trHeight w:val="2011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Знання та розуміння предметної області та розуміння професійної діяльності журналіста.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1599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бути критичним і самокритичним.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1669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до пошуку, оброблення та аналізу інформації з різних джерел.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934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формувати інформаційний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контент для різних видів ЗМІ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lastRenderedPageBreak/>
              <w:t xml:space="preserve">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942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lastRenderedPageBreak/>
              <w:t>Здатність організовувати й контролювати командну професійну діяльність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965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ефективно просувати створений медійний 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1F2C56" w:rsidRPr="00F46412" w:rsidTr="002120A7">
        <w:trPr>
          <w:trHeight w:val="1574"/>
        </w:trPr>
        <w:tc>
          <w:tcPr>
            <w:tcW w:w="405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застосовувати знання зі сфери соціальних комунікацій у своїй професійній діяльності.</w:t>
            </w:r>
          </w:p>
        </w:tc>
        <w:tc>
          <w:tcPr>
            <w:tcW w:w="587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</w:tbl>
    <w:p w:rsidR="001F2C56" w:rsidRPr="00F46412" w:rsidRDefault="001F2C56" w:rsidP="001F2C56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F4641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3. Програма навчальної дисципліни</w:t>
      </w:r>
    </w:p>
    <w:p w:rsidR="001F2C56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Змістовий модуль 1. </w:t>
      </w:r>
    </w:p>
    <w:p w:rsidR="00511070" w:rsidRPr="00E9611E" w:rsidRDefault="00511070" w:rsidP="005110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Іміджмейкінг</w:t>
      </w:r>
      <w:proofErr w:type="spellEnd"/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як технологія формування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іміджу й професійна діяльність</w:t>
      </w:r>
    </w:p>
    <w:p w:rsidR="00511070" w:rsidRPr="00511070" w:rsidRDefault="00511070" w:rsidP="0051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особлива практична галузь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. Основн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підходи до розуміння поняття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комунікаційна технологія та система. Складові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іміджмейкінгу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(концепція О. Панасюка). Специфіка професії іміджмейкера. Професійні орієнтири іміджмейкера. Діяльність іміджмейкера та психологія сприйняття образу. Типологія соціальної перцепції.</w:t>
      </w:r>
    </w:p>
    <w:p w:rsidR="001F2C56" w:rsidRPr="00F46412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2</w:t>
      </w: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</w:t>
      </w:r>
    </w:p>
    <w:p w:rsidR="00511070" w:rsidRPr="00E9611E" w:rsidRDefault="00511070" w:rsidP="005110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Соціально-психологічні передумови форм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ування та функціонування іміджу</w:t>
      </w:r>
    </w:p>
    <w:p w:rsidR="00511070" w:rsidRPr="00511070" w:rsidRDefault="00511070" w:rsidP="0051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іміджу як створення соціальної реальності у людській свідомості. Поняття громадська думка та суспільна свідомість.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Перцептивне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спілкування. Соціальні стереотипи й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аттітюди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(установки) у процесі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Соціально-психологічні феномени трансляції й сприйняття іміджу: інтуїція,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хіндсайт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соціальні очікування, фундаментальна помилка атрибуції, установка, переконання, оцінка. Психологія впливу та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Соціально-психологічний інструментарій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його вплив на аудиторію: Позиціювання, маніпулювання, міфологізація як основні інструменти впливу на аудиторію.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Емоціоналізація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вербалізація, візуалізація як основні прийоми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. Деталізація та метафоризація іміджу у соціальному просторі. Нейролінгвістичне програмування у процесі створення іміджу публічної персони. Принципи психологічного проектування іміджу – принципи цілісності та заданості.</w:t>
      </w:r>
    </w:p>
    <w:p w:rsidR="001F2C56" w:rsidRPr="00F46412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3</w:t>
      </w: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. </w:t>
      </w:r>
    </w:p>
    <w:p w:rsidR="00511070" w:rsidRPr="00E9611E" w:rsidRDefault="00511070" w:rsidP="005110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Персональна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імідже</w:t>
      </w:r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логія</w:t>
      </w:r>
      <w:proofErr w:type="spellEnd"/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Зовнішня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маніфестація іміджу особистості</w:t>
      </w:r>
    </w:p>
    <w:p w:rsidR="00511070" w:rsidRPr="00511070" w:rsidRDefault="00511070" w:rsidP="0051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Зовнішність як біологічний компонент іміджу.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Складові зовнішності людини. Біологічні та соціальні ознаки особистості як першоджерела формування іміджу та стилю. Мода й краса як чинники формування біологічного компоненту </w:t>
      </w: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іміджу.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Габітарний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імідж особистості: технології створення. Основи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кольоропсихології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Типи кольорової поведінки (концепція М.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Люшера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). Типологія кольорового іміджу людини К.</w:t>
      </w:r>
      <w:r w:rsidR="00A318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Джексон: весна, літо, зима, осінь. Роль одягу та костюму у презентації іміджу людини. Стратегії самопрезентації в одязі.  Вибір стилю одягу. Різновиди стилів. Вибір манери вбрання за критеріями: ставлення до моди та традицій, демонстративні мотиви вибору одягу, потреби у виборі одягу, кількість одягу, параметри конституції людини.</w:t>
      </w:r>
    </w:p>
    <w:p w:rsidR="00511070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Змістовий модуль 4</w:t>
      </w: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</w:t>
      </w:r>
    </w:p>
    <w:p w:rsidR="00511070" w:rsidRPr="00E9611E" w:rsidRDefault="00511070" w:rsidP="005110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9611E">
        <w:rPr>
          <w:rFonts w:ascii="Times New Roman" w:eastAsia="Calibri" w:hAnsi="Times New Roman" w:cs="Times New Roman"/>
          <w:i/>
          <w:sz w:val="28"/>
          <w:szCs w:val="28"/>
          <w:lang w:val="uk-UA"/>
        </w:rPr>
        <w:t>Структура індивідуального (особис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того) іміджу</w:t>
      </w:r>
    </w:p>
    <w:p w:rsidR="00511070" w:rsidRPr="00E9611E" w:rsidRDefault="00511070" w:rsidP="0051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Індивідуальний імідж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іміджелогії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</w:t>
      </w:r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соціальному просторі. Поняття людина, індивід, індивідуальність, особа, особистість. Особистість як джерело іміджевої інформації. Типології особистості та техніки </w:t>
      </w:r>
      <w:proofErr w:type="spellStart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E9611E">
        <w:rPr>
          <w:rFonts w:ascii="Times New Roman" w:eastAsia="Calibri" w:hAnsi="Times New Roman" w:cs="Times New Roman"/>
          <w:sz w:val="28"/>
          <w:szCs w:val="28"/>
          <w:lang w:val="uk-UA"/>
        </w:rPr>
        <w:t>. Особистий та публічний імідж: єдність, взаємозв’язок, специфіка. Структура індивідуального (персонального) іміджу та його динамічна модель.  Зовнішній та внутрішній іміджі людини. Імідж як продукт соціалізації людини. Етапи формування іміджу особистості.</w:t>
      </w:r>
    </w:p>
    <w:p w:rsidR="001F2C56" w:rsidRPr="00F46412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F2C56" w:rsidRDefault="001F2C56" w:rsidP="001F2C56">
      <w:pP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 w:type="page"/>
      </w:r>
    </w:p>
    <w:p w:rsidR="001F2C56" w:rsidRPr="00936660" w:rsidRDefault="001F2C56" w:rsidP="001F2C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3666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4. Структура навчальної дисципліни</w:t>
      </w:r>
    </w:p>
    <w:tbl>
      <w:tblPr>
        <w:tblpPr w:leftFromText="180" w:rightFromText="180" w:vertAnchor="page" w:horzAnchor="margin" w:tblpY="19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75"/>
        <w:gridCol w:w="567"/>
        <w:gridCol w:w="459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1F2C56" w:rsidRPr="00F46412" w:rsidTr="002120A7">
        <w:tc>
          <w:tcPr>
            <w:tcW w:w="1418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675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3788" w:type="dxa"/>
            <w:gridSpan w:val="6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1F2C56" w:rsidRPr="00F46412" w:rsidTr="002120A7">
        <w:tc>
          <w:tcPr>
            <w:tcW w:w="141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344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Семінарські/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Практичні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1F2C56" w:rsidRPr="00F46412" w:rsidTr="002120A7">
        <w:tc>
          <w:tcPr>
            <w:tcW w:w="141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026" w:type="dxa"/>
            <w:gridSpan w:val="2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7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49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924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1F2C56" w:rsidRPr="00F46412" w:rsidTr="002120A7">
        <w:trPr>
          <w:trHeight w:val="120"/>
        </w:trPr>
        <w:tc>
          <w:tcPr>
            <w:tcW w:w="1418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675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026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77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640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78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98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777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924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851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1F2C56" w:rsidRPr="00F46412" w:rsidTr="002120A7">
        <w:trPr>
          <w:trHeight w:val="100"/>
        </w:trPr>
        <w:tc>
          <w:tcPr>
            <w:tcW w:w="141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о/д ф</w:t>
            </w:r>
          </w:p>
        </w:tc>
        <w:tc>
          <w:tcPr>
            <w:tcW w:w="4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дф</w:t>
            </w:r>
            <w:proofErr w:type="spellEnd"/>
          </w:p>
        </w:tc>
        <w:tc>
          <w:tcPr>
            <w:tcW w:w="567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7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40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9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7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1F2C56" w:rsidRPr="00F46412" w:rsidTr="002120A7">
        <w:trPr>
          <w:trHeight w:val="268"/>
        </w:trPr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59" w:type="dxa"/>
          </w:tcPr>
          <w:p w:rsidR="001F2C56" w:rsidRPr="00F46412" w:rsidRDefault="00637797" w:rsidP="006377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</w:tr>
      <w:tr w:rsidR="001F2C56" w:rsidRPr="00F46412" w:rsidTr="002120A7"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</w:tr>
      <w:tr w:rsidR="001F2C56" w:rsidRPr="00F46412" w:rsidTr="002120A7"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</w:tr>
      <w:tr w:rsidR="001F2C56" w:rsidRPr="00F46412" w:rsidTr="002120A7">
        <w:trPr>
          <w:trHeight w:val="308"/>
        </w:trPr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6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</w:tr>
      <w:tr w:rsidR="001F2C56" w:rsidRPr="00F46412" w:rsidTr="002120A7"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56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="001F2C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59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56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777" w:type="dxa"/>
          </w:tcPr>
          <w:p w:rsidR="001F2C56" w:rsidRPr="00F46412" w:rsidRDefault="00511070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</w:t>
            </w:r>
          </w:p>
        </w:tc>
        <w:tc>
          <w:tcPr>
            <w:tcW w:w="777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="001F2C56"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</w:tr>
      <w:tr w:rsidR="001F2C56" w:rsidRPr="00F46412" w:rsidTr="002120A7"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контроль: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екзамен</w:t>
            </w:r>
          </w:p>
        </w:tc>
        <w:tc>
          <w:tcPr>
            <w:tcW w:w="67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1026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6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7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92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</w:tr>
      <w:tr w:rsidR="001F2C56" w:rsidRPr="00F46412" w:rsidTr="002120A7"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5738" w:type="dxa"/>
            <w:gridSpan w:val="9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2767" w:type="dxa"/>
            <w:gridSpan w:val="3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1F2C56" w:rsidRDefault="001F2C56" w:rsidP="001F2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660">
        <w:rPr>
          <w:rFonts w:ascii="Times New Roman" w:hAnsi="Times New Roman" w:cs="Times New Roman"/>
          <w:b/>
          <w:sz w:val="28"/>
          <w:szCs w:val="28"/>
          <w:lang w:val="uk-UA"/>
        </w:rPr>
        <w:t>5. Теми лекційних занять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78"/>
        <w:gridCol w:w="960"/>
        <w:gridCol w:w="851"/>
      </w:tblGrid>
      <w:tr w:rsidR="001F2C56" w:rsidRPr="00F46412" w:rsidTr="002120A7">
        <w:tc>
          <w:tcPr>
            <w:tcW w:w="1134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№ змістового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модуля</w:t>
            </w:r>
          </w:p>
        </w:tc>
        <w:tc>
          <w:tcPr>
            <w:tcW w:w="6978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Назва теми</w:t>
            </w:r>
          </w:p>
        </w:tc>
        <w:tc>
          <w:tcPr>
            <w:tcW w:w="1811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годин</w:t>
            </w:r>
          </w:p>
        </w:tc>
      </w:tr>
      <w:tr w:rsidR="001F2C56" w:rsidRPr="00F46412" w:rsidTr="002120A7">
        <w:trPr>
          <w:trHeight w:val="268"/>
        </w:trPr>
        <w:tc>
          <w:tcPr>
            <w:tcW w:w="1134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978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6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о/д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дист</w:t>
            </w:r>
            <w:proofErr w:type="spellEnd"/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</w:tr>
      <w:tr w:rsidR="001F2C56" w:rsidRPr="00F46412" w:rsidTr="002120A7">
        <w:trPr>
          <w:trHeight w:val="117"/>
        </w:trPr>
        <w:tc>
          <w:tcPr>
            <w:tcW w:w="113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697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96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3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4</w:t>
            </w:r>
          </w:p>
        </w:tc>
      </w:tr>
      <w:tr w:rsidR="001F2C56" w:rsidRPr="00F46412" w:rsidTr="002120A7">
        <w:trPr>
          <w:trHeight w:val="234"/>
        </w:trPr>
        <w:tc>
          <w:tcPr>
            <w:tcW w:w="113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697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</w:t>
            </w:r>
            <w:proofErr w:type="spellEnd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як технологія формування іміджу й професійна діяльність</w:t>
            </w:r>
          </w:p>
        </w:tc>
        <w:tc>
          <w:tcPr>
            <w:tcW w:w="960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1F2C56" w:rsidRPr="00F46412" w:rsidTr="002120A7">
        <w:trPr>
          <w:trHeight w:val="103"/>
        </w:trPr>
        <w:tc>
          <w:tcPr>
            <w:tcW w:w="113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697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Соціально-психологічні передумови формування та функціонування іміджу</w:t>
            </w:r>
          </w:p>
        </w:tc>
        <w:tc>
          <w:tcPr>
            <w:tcW w:w="960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1F2C56" w:rsidRPr="00F46412" w:rsidTr="002120A7">
        <w:trPr>
          <w:trHeight w:val="150"/>
        </w:trPr>
        <w:tc>
          <w:tcPr>
            <w:tcW w:w="113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697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Персональна </w:t>
            </w:r>
            <w:proofErr w:type="spellStart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іміджелогія</w:t>
            </w:r>
            <w:proofErr w:type="spellEnd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. Зовнішня маніфестація іміджу особистості</w:t>
            </w:r>
          </w:p>
        </w:tc>
        <w:tc>
          <w:tcPr>
            <w:tcW w:w="960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1F2C56" w:rsidRPr="00F46412" w:rsidTr="002120A7">
        <w:trPr>
          <w:trHeight w:val="150"/>
        </w:trPr>
        <w:tc>
          <w:tcPr>
            <w:tcW w:w="1134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6978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Структура індивідуального (особистого) іміджу</w:t>
            </w:r>
          </w:p>
        </w:tc>
        <w:tc>
          <w:tcPr>
            <w:tcW w:w="960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</w:tr>
      <w:tr w:rsidR="001F2C56" w:rsidRPr="00F46412" w:rsidTr="002120A7">
        <w:tc>
          <w:tcPr>
            <w:tcW w:w="8112" w:type="dxa"/>
            <w:gridSpan w:val="2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Разом</w:t>
            </w:r>
          </w:p>
        </w:tc>
        <w:tc>
          <w:tcPr>
            <w:tcW w:w="960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851" w:type="dxa"/>
          </w:tcPr>
          <w:p w:rsidR="001F2C56" w:rsidRPr="00F46412" w:rsidRDefault="00637797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</w:tbl>
    <w:p w:rsidR="001F2C56" w:rsidRDefault="001F2C56" w:rsidP="001F2C56">
      <w:pP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</w:p>
    <w:p w:rsidR="001F2C56" w:rsidRPr="00F46412" w:rsidRDefault="00637797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6</w:t>
      </w:r>
      <w:r w:rsidR="001F2C56" w:rsidRPr="00F4641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.</w:t>
      </w:r>
      <w:r w:rsidR="001F2C56" w:rsidRPr="00F4641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ab/>
        <w:t>Види і зміст поточних контрольних заходів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35"/>
        <w:gridCol w:w="2977"/>
        <w:gridCol w:w="1418"/>
        <w:gridCol w:w="1559"/>
      </w:tblGrid>
      <w:tr w:rsidR="001F2C56" w:rsidRPr="00F46412" w:rsidTr="002120A7">
        <w:trPr>
          <w:trHeight w:val="803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№ змістового модуля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Вид поточного контрольного заходу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1F2C56" w:rsidRPr="00F46412" w:rsidTr="002120A7">
        <w:trPr>
          <w:trHeight w:val="344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1F2C56" w:rsidRPr="00F46412" w:rsidTr="002120A7">
        <w:tc>
          <w:tcPr>
            <w:tcW w:w="1100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2835" w:type="dxa"/>
          </w:tcPr>
          <w:p w:rsidR="001F2C56" w:rsidRPr="00F46412" w:rsidRDefault="001F2C56" w:rsidP="00637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Теоретичне завдання –  ознайомитися з сучасними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підходами </w:t>
            </w:r>
            <w:r w:rsid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до творення персонального </w:t>
            </w:r>
            <w:proofErr w:type="spellStart"/>
            <w:r w:rsid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іміджмейкінгу</w:t>
            </w:r>
            <w:proofErr w:type="spellEnd"/>
          </w:p>
        </w:tc>
        <w:tc>
          <w:tcPr>
            <w:tcW w:w="2977" w:type="dxa"/>
          </w:tcPr>
          <w:p w:rsidR="001F2C56" w:rsidRPr="00F46412" w:rsidRDefault="001F2C56" w:rsidP="00637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як особлива практична галузь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іміджології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. Основні підходи до розуміння поняття «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».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як комунікаційна технологія та система. Складові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іміджмейкінгу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(концепція О. Панасюка). Специфіка професії іміджмейкера. Професійні орієнтири іміджмейкера. Діяльність іміджмейкера та психологія сприйняття образу. Типологія соціальної перцепції.</w:t>
            </w: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6</w:t>
            </w:r>
          </w:p>
        </w:tc>
      </w:tr>
      <w:tr w:rsidR="001F2C56" w:rsidRPr="00F46412" w:rsidTr="002120A7">
        <w:trPr>
          <w:trHeight w:val="343"/>
        </w:trPr>
        <w:tc>
          <w:tcPr>
            <w:tcW w:w="1100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</w:tcPr>
          <w:p w:rsidR="00637797" w:rsidRPr="00637797" w:rsidRDefault="001F2C56" w:rsidP="00637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 w:rsidR="00637797">
              <w:t xml:space="preserve"> </w:t>
            </w:r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Вважається, що сприйняття образів варіюється залежно від національних показників особистості. Розробіть рекламу певного універсального харчового продукту або предметів побуту (приміром, холодильника), розраховану на українців, італійців, німців, єгиптян, сирійців (5 варіантів однієї реклами).</w:t>
            </w:r>
          </w:p>
          <w:p w:rsidR="001F2C56" w:rsidRPr="00F46412" w:rsidRDefault="00637797" w:rsidP="00637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Зберіть</w:t>
            </w:r>
            <w:proofErr w:type="spellEnd"/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портфоліо творів образ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отворчого мистецтва, фото</w:t>
            </w:r>
            <w:r w:rsidRPr="00637797">
              <w:rPr>
                <w:rFonts w:ascii="Times New Roman" w:eastAsia="Times New Roman" w:hAnsi="Times New Roman" w:cs="Times New Roman"/>
                <w:lang w:val="uk-UA" w:eastAsia="ar-SA"/>
              </w:rPr>
              <w:t>, що демонструють індивідуальні відмінності сприйняття (10 зразків).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Вимоги до виконання та оформлення: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завдання подати як презентацію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</w:tr>
      <w:tr w:rsidR="001F2C56" w:rsidRPr="00F46412" w:rsidTr="002120A7">
        <w:trPr>
          <w:trHeight w:val="720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Усього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ЗМ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1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</w:tr>
      <w:tr w:rsidR="001F2C56" w:rsidRPr="00F46412" w:rsidTr="002120A7">
        <w:trPr>
          <w:trHeight w:val="487"/>
        </w:trPr>
        <w:tc>
          <w:tcPr>
            <w:tcW w:w="1100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Теоретичне завдання – опитування й обговорення ключових моментів теми; тестування на платформі </w:t>
            </w:r>
            <w:r w:rsidRPr="00F46412">
              <w:rPr>
                <w:rFonts w:ascii="Times New Roman" w:eastAsia="Times New Roman" w:hAnsi="Times New Roman" w:cs="Times New Roman"/>
                <w:lang w:val="en-US" w:eastAsia="ar-SA"/>
              </w:rPr>
              <w:t>MOODLE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, проведення ділової гри</w:t>
            </w:r>
          </w:p>
        </w:tc>
        <w:tc>
          <w:tcPr>
            <w:tcW w:w="2977" w:type="dxa"/>
          </w:tcPr>
          <w:p w:rsidR="001F2C56" w:rsidRPr="00F46412" w:rsidRDefault="001F2C56" w:rsidP="006377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Формування іміджу як створення соціальної реальності у людській свідомості. Поняття громадська думка та суспільна свідомість.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Перцептивне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спілкування. Соціальні стереотипи й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аттітюди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(установки) у процесі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Соціально-психологічні феномени трансляції й сприйняття іміджу: інтуїція,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хіндсайт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соціальні очікування, фундаментальна помилка атрибуції, установка, переконання, оцінка. Психологія впливу та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Соціально-психологічний інструментарій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та його вплив на аудиторію: Позиціювання, </w:t>
            </w:r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маніпулювання, міфологізація як основні інструменти впливу на аудиторію.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Емоціоналізація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, вербалізація, візуалізація як основні прийоми </w:t>
            </w:r>
            <w:proofErr w:type="spellStart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637797" w:rsidRPr="00637797">
              <w:rPr>
                <w:rFonts w:ascii="Times New Roman" w:eastAsia="Times New Roman" w:hAnsi="Times New Roman" w:cs="Times New Roman"/>
                <w:lang w:val="uk-UA" w:eastAsia="ar-SA"/>
              </w:rPr>
              <w:t>. Деталізація та метафоризація іміджу у соціальному просторі. Нейролінгвістичне програмування у процесі створення іміджу публічної персони. Принципи психологічного проектування іміджу – принципи цілісності та заданості.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1F2C56" w:rsidRPr="00F46412" w:rsidTr="002120A7">
        <w:trPr>
          <w:trHeight w:val="290"/>
        </w:trPr>
        <w:tc>
          <w:tcPr>
            <w:tcW w:w="1100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835" w:type="dxa"/>
          </w:tcPr>
          <w:p w:rsidR="001F2C56" w:rsidRPr="00F46412" w:rsidRDefault="001F2C56" w:rsidP="0063779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 w:rsidR="00A31852" w:rsidRPr="00A31852">
              <w:rPr>
                <w:lang w:val="uk-UA"/>
              </w:rPr>
              <w:t xml:space="preserve">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1.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ab/>
              <w:t xml:space="preserve">Наталя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Барна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вказує на те, що технологія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іміджмейкінгу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естетизує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будь-який товар чи предмет шляхом залучення таких структур: близькості (доступності образу); експресивності (динамізму, емоційності, яскравості образу); сексуальності (еротичності) – спроможності імідж-образу причаровувати, викликати збудження; домінантності (бажання підкорити, власність образу); агресивності (рушійний потенціал, провокування жаху та гніву);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архетипічності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(відображення в образі стародавніх імпульсів та міфів);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еталонності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(домінуючі соціальні цінності, моделі, спроможність образу викликати довіру). Використовуючи запропоновану схему, здійсніть аналіз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певного предмету чи товару (5 прикладів).</w:t>
            </w:r>
            <w:r w:rsidR="0063779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Вимоги до виконання та оформлення: </w:t>
            </w:r>
            <w:r w:rsidRPr="00DB0492">
              <w:rPr>
                <w:rFonts w:ascii="Times New Roman" w:eastAsia="Times New Roman" w:hAnsi="Times New Roman" w:cs="Times New Roman"/>
                <w:lang w:val="uk-UA" w:eastAsia="ar-SA"/>
              </w:rPr>
              <w:t>завдання подати як презентацію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8</w:t>
            </w:r>
          </w:p>
        </w:tc>
      </w:tr>
      <w:tr w:rsidR="001F2C56" w:rsidRPr="00F46412" w:rsidTr="002120A7">
        <w:trPr>
          <w:trHeight w:val="720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Усього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ЗМ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2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</w:tr>
      <w:tr w:rsidR="001F2C56" w:rsidRPr="00F46412" w:rsidTr="002120A7">
        <w:trPr>
          <w:trHeight w:val="127"/>
        </w:trPr>
        <w:tc>
          <w:tcPr>
            <w:tcW w:w="1100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Теоретичне завдання – опитування й обговорення 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ключових моментів теми; тестування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MOODLE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, проведення ділової гри</w:t>
            </w:r>
          </w:p>
        </w:tc>
        <w:tc>
          <w:tcPr>
            <w:tcW w:w="2977" w:type="dxa"/>
          </w:tcPr>
          <w:p w:rsidR="00A31852" w:rsidRPr="00A3185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Питання для підготовки –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Зовнішність як біологічний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компонент іміджу. Складові зовнішності людини. Біологічні та соціальні ознаки особистості як першоджерела формування іміджу та стилю. Мода й краса як чинники формування біологічного компоненту іміджу.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Габітарний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імідж особистості: технології створення. Основи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кольоропсихології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Типи кольорової поведінки (концепція М.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Люшера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). Типологія кольорового іміджу людини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К.Джексон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 весна, літо, зима, осінь. Роль одягу та костюму у презентації іміджу людини. Стратегії самопрезентації в одязі.  Вибір стилю одягу. Різновиди стилів. Вибір манери вбрання за критеріями: ставлення до моди та традицій, демонстративні мотиви вибору одягу, потреби у виборі одягу, кількість одягу, параметри конституції людини.</w:t>
            </w:r>
          </w:p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Критерії оцінювання 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6</w:t>
            </w:r>
          </w:p>
        </w:tc>
      </w:tr>
      <w:tr w:rsidR="001F2C56" w:rsidRPr="00F46412" w:rsidTr="002120A7">
        <w:trPr>
          <w:trHeight w:val="140"/>
        </w:trPr>
        <w:tc>
          <w:tcPr>
            <w:tcW w:w="1100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</w:tcPr>
          <w:p w:rsidR="00A31852" w:rsidRPr="00A3185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 w:rsid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Підготуйте портфоліо для кожного стилю одягу – класичного, романтичного, фольклорного, спортивного.</w:t>
            </w:r>
          </w:p>
          <w:p w:rsidR="001F2C56" w:rsidRPr="00F46412" w:rsidRDefault="00A31852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Визначте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кольоротип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своєї зовнішності за запропонованим нижче тестом. Поміркуйте, як зміниться ваш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кольоротип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та образ після процедури перефарбування волосся? Для наочності скористайтеся програмою комп’ютерного моделювання.</w:t>
            </w:r>
          </w:p>
        </w:tc>
        <w:tc>
          <w:tcPr>
            <w:tcW w:w="2977" w:type="dxa"/>
          </w:tcPr>
          <w:p w:rsidR="001F2C56" w:rsidRPr="00F46412" w:rsidRDefault="00A31852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Вимоги до виконання та оформлення: завдання подати як презентацію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  <w:tr w:rsidR="001F2C56" w:rsidRPr="00F46412" w:rsidTr="002120A7">
        <w:trPr>
          <w:trHeight w:val="1076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ЗМ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3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  <w:proofErr w:type="spellEnd"/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16</w:t>
            </w:r>
          </w:p>
        </w:tc>
      </w:tr>
      <w:tr w:rsidR="001F2C56" w:rsidRPr="00F46412" w:rsidTr="002120A7">
        <w:trPr>
          <w:trHeight w:val="141"/>
        </w:trPr>
        <w:tc>
          <w:tcPr>
            <w:tcW w:w="1100" w:type="dxa"/>
            <w:vMerge w:val="restart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Теоретичне завдання – опитування й обговорення ключових моментів теми; тестування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MOODLE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, ділова гра</w:t>
            </w:r>
          </w:p>
        </w:tc>
        <w:tc>
          <w:tcPr>
            <w:tcW w:w="2977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Питання для підготовки –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Індивідуальний імідж в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іміджелогії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й соціальному просторі. Поняття людина,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індивід, індивідуальність, особа, особистість. Особистість як джерело іміджевої інформації. Типології особистості та техніки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іміджування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. Особистий та публічний імідж: єдність, взаємозв’язок, специфіка. Структура індивідуального (персонального) іміджу та його динамічна модель.  Зовнішній та внутрішній іміджі людини. Імідж як продукт соціалізації людини. Етапи формування іміджу особистості.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Критерії оцінювання розміщено на 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6</w:t>
            </w:r>
          </w:p>
        </w:tc>
      </w:tr>
      <w:tr w:rsidR="001F2C56" w:rsidRPr="00F46412" w:rsidTr="002120A7">
        <w:trPr>
          <w:trHeight w:val="103"/>
        </w:trPr>
        <w:tc>
          <w:tcPr>
            <w:tcW w:w="1100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</w:tcPr>
          <w:p w:rsidR="00A31852" w:rsidRPr="00A3185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Практичне завдання – </w:t>
            </w:r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Визначте етапи формування власного іміджу, ілюструючи кожен з періодів фото, відео та особистою символікою (формат –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story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).</w:t>
            </w:r>
          </w:p>
          <w:p w:rsidR="00A31852" w:rsidRPr="00F46412" w:rsidRDefault="00A31852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3. Здійсніть дослідження внутрішнього іміджу Ваших колег, друзів, батьків (не менше 5-ти респондентів) на основі запропонованих або інших (обраних Вами)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психодіагностик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. Зведіть отримані результати у спеціальний реєстр.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Вимоги до виконання та оформлення: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матеріал подати як презентацію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1418" w:type="dxa"/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https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://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moodle.znu.edu.ua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course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/</w:t>
            </w:r>
            <w:proofErr w:type="spellStart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view.php?id</w:t>
            </w:r>
            <w:proofErr w:type="spellEnd"/>
            <w:r w:rsidR="00A31852" w:rsidRPr="00A31852">
              <w:rPr>
                <w:rFonts w:ascii="Times New Roman" w:eastAsia="Times New Roman" w:hAnsi="Times New Roman" w:cs="Times New Roman"/>
                <w:lang w:val="uk-UA" w:eastAsia="ar-SA"/>
              </w:rPr>
              <w:t>=1678</w:t>
            </w: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  <w:tr w:rsidR="001F2C56" w:rsidRPr="00F46412" w:rsidTr="002120A7">
        <w:trPr>
          <w:trHeight w:val="122"/>
        </w:trPr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ЗМ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4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  <w:proofErr w:type="spellEnd"/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16</w:t>
            </w:r>
          </w:p>
        </w:tc>
      </w:tr>
      <w:tr w:rsidR="001F2C56" w:rsidRPr="00F46412" w:rsidTr="002120A7">
        <w:tc>
          <w:tcPr>
            <w:tcW w:w="110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змістові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модулі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контр.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297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60</w:t>
            </w:r>
          </w:p>
        </w:tc>
      </w:tr>
    </w:tbl>
    <w:p w:rsidR="001F2C56" w:rsidRPr="00F46412" w:rsidRDefault="001F2C56" w:rsidP="001F2C56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</w:pPr>
      <w:r w:rsidRPr="00F46412">
        <w:rPr>
          <w:rFonts w:ascii="Times New Roman" w:eastAsia="Calibri" w:hAnsi="Times New Roman" w:cs="Times New Roman"/>
          <w:b/>
          <w:bCs/>
          <w:sz w:val="28"/>
          <w:szCs w:val="28"/>
          <w:lang w:val="uk-UA" w:eastAsia="ar-SA"/>
        </w:rPr>
        <w:t>8. Підсумковий семестровий контроль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0"/>
        <w:gridCol w:w="1842"/>
        <w:gridCol w:w="851"/>
      </w:tblGrid>
      <w:tr w:rsidR="001F2C56" w:rsidRPr="00F46412" w:rsidTr="002120A7">
        <w:trPr>
          <w:trHeight w:val="318"/>
        </w:trPr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212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567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184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1F2C56" w:rsidRPr="00F46412" w:rsidTr="002120A7">
        <w:trPr>
          <w:trHeight w:val="190"/>
        </w:trPr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127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5670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842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1F2C56" w:rsidRPr="00F46412" w:rsidTr="002120A7">
        <w:tc>
          <w:tcPr>
            <w:tcW w:w="851" w:type="dxa"/>
            <w:vMerge w:val="restart"/>
            <w:textDirection w:val="btLr"/>
          </w:tcPr>
          <w:p w:rsidR="001F2C56" w:rsidRPr="00F46412" w:rsidRDefault="001F2C56" w:rsidP="002120A7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1F2C56" w:rsidRPr="00F46412" w:rsidRDefault="00A31852" w:rsidP="002120A7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Залік </w:t>
            </w:r>
          </w:p>
        </w:tc>
        <w:tc>
          <w:tcPr>
            <w:tcW w:w="2127" w:type="dxa"/>
            <w:tcBorders>
              <w:bottom w:val="nil"/>
            </w:tcBorders>
          </w:tcPr>
          <w:p w:rsidR="001F2C56" w:rsidRPr="00F46412" w:rsidRDefault="001F2C56" w:rsidP="00A3185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Теоретичне завдання: </w:t>
            </w:r>
            <w:r w:rsidR="00A3185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продемонструвати базові знання у галузі </w:t>
            </w:r>
            <w:proofErr w:type="spellStart"/>
            <w:r w:rsidR="00DE33B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і</w:t>
            </w:r>
            <w:r w:rsidR="00A3185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міджмейкінгу</w:t>
            </w:r>
            <w:proofErr w:type="spellEnd"/>
            <w:r w:rsidR="00A3185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 за запропонованими темами.</w:t>
            </w:r>
          </w:p>
        </w:tc>
        <w:tc>
          <w:tcPr>
            <w:tcW w:w="5670" w:type="dxa"/>
            <w:tcBorders>
              <w:bottom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Питання для підготовки: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Імідж як історична та структурна константа комунікаційного простору суспільства.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Імідж у рекламі, політиці, бізнесі та мистецтві.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 xml:space="preserve">Розвиток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іміджології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в Україні.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Основні підходи до визначення поняття “імідж”.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lastRenderedPageBreak/>
              <w:t>Співвідношення понять імідж, образ, ідеал, маска, стереотип, репутація, статус, престиж.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Види іміджів. Проблема класифікації іміджу.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Біологічний, комунікативний, соціальний, міфологічний, професійний та контекстний компоненти іміджу.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Функції іміджу.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DE33BC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як особлива практична галузь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іміджології</w:t>
            </w:r>
            <w:proofErr w:type="spellEnd"/>
            <w:r w:rsidRPr="00DE33BC">
              <w:rPr>
                <w:sz w:val="22"/>
                <w:lang w:val="uk-UA" w:eastAsia="ar-SA"/>
              </w:rPr>
              <w:t>. Основні підходи до розуміння поняття “</w:t>
            </w:r>
            <w:proofErr w:type="spellStart"/>
            <w:r w:rsidRPr="00DE33BC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DE33BC">
              <w:rPr>
                <w:sz w:val="22"/>
                <w:lang w:val="uk-UA" w:eastAsia="ar-SA"/>
              </w:rPr>
              <w:t>”.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DE33BC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як комунікаційна технологія та система. Складові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іміджмейкінгу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(концепція О. Панасюка).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Специфіка професії іміджмейкера. Професійні орієнтири іміджмейкера.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Діяльність іміджмейкера та психологія сприйняття образу. Типологія соціальної перцепції.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Формування іміджу як створення соціальної реальності у людській свідомості. Поняття громадська думка та суспільна свідомість.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DE33BC">
              <w:rPr>
                <w:sz w:val="22"/>
                <w:lang w:val="uk-UA" w:eastAsia="ar-SA"/>
              </w:rPr>
              <w:t>Перцептивне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спілкування. Соціальні стереотипи й </w:t>
            </w:r>
            <w:proofErr w:type="spellStart"/>
            <w:r w:rsidRPr="00DE33BC">
              <w:rPr>
                <w:sz w:val="22"/>
                <w:lang w:val="uk-UA" w:eastAsia="ar-SA"/>
              </w:rPr>
              <w:t>аттітюди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(установки) у процесі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DE33BC">
              <w:rPr>
                <w:sz w:val="22"/>
                <w:lang w:val="uk-UA" w:eastAsia="ar-SA"/>
              </w:rPr>
              <w:t>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 xml:space="preserve">Соціально-психологічні феномени трансляції й сприйняття іміджу: інтуїція, </w:t>
            </w:r>
            <w:proofErr w:type="spellStart"/>
            <w:r w:rsidRPr="00DE33BC">
              <w:rPr>
                <w:sz w:val="22"/>
                <w:lang w:val="uk-UA" w:eastAsia="ar-SA"/>
              </w:rPr>
              <w:t>хіндсайт</w:t>
            </w:r>
            <w:proofErr w:type="spellEnd"/>
            <w:r w:rsidRPr="00DE33BC">
              <w:rPr>
                <w:sz w:val="22"/>
                <w:lang w:val="uk-UA" w:eastAsia="ar-SA"/>
              </w:rPr>
              <w:t>, соціальні очікування, фундаментальна помилка атрибуції, установка, переконання, оцінка.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 xml:space="preserve">Психологія впливу та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DE33BC">
              <w:rPr>
                <w:sz w:val="22"/>
                <w:lang w:val="uk-UA" w:eastAsia="ar-SA"/>
              </w:rPr>
              <w:t>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 xml:space="preserve">Соціально-психологічний інструментарій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та його вплив на аудиторію.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Позиціювання, маніпулювання, міфологізація як основні інструменти впливу на аудиторію.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DE33BC">
              <w:rPr>
                <w:sz w:val="22"/>
                <w:lang w:val="uk-UA" w:eastAsia="ar-SA"/>
              </w:rPr>
              <w:t>Емоціоналізація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, вербалізація, візуалізація як основні прийоми </w:t>
            </w:r>
            <w:proofErr w:type="spellStart"/>
            <w:r w:rsidRPr="00DE33BC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DE33BC">
              <w:rPr>
                <w:sz w:val="22"/>
                <w:lang w:val="uk-UA" w:eastAsia="ar-SA"/>
              </w:rPr>
              <w:t>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Деталізація та метафоризація іміджу у соціальному просторі.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Нейролінгвістичне програмування у процесі створення іміджу публічної персони.</w:t>
            </w:r>
          </w:p>
          <w:p w:rsidR="00DE33BC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DE33BC">
              <w:rPr>
                <w:sz w:val="22"/>
                <w:lang w:val="uk-UA" w:eastAsia="ar-SA"/>
              </w:rPr>
              <w:t>Принципи психологічного проектування іміджу – принципи цілісності та заданості.</w:t>
            </w:r>
          </w:p>
          <w:p w:rsidR="001F2C56" w:rsidRPr="00DE33BC" w:rsidRDefault="00DE33BC" w:rsidP="00DE33BC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DE33BC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DE33BC">
              <w:rPr>
                <w:sz w:val="22"/>
                <w:lang w:val="uk-UA" w:eastAsia="ar-SA"/>
              </w:rPr>
              <w:t xml:space="preserve"> – технологія корекційно-виховного впливу.</w:t>
            </w:r>
          </w:p>
        </w:tc>
        <w:tc>
          <w:tcPr>
            <w:tcW w:w="1842" w:type="dxa"/>
            <w:tcBorders>
              <w:bottom w:val="nil"/>
            </w:tcBorders>
          </w:tcPr>
          <w:p w:rsidR="001F2C56" w:rsidRPr="00F46412" w:rsidRDefault="00A31852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lastRenderedPageBreak/>
              <w:t>Під час заліку</w:t>
            </w:r>
            <w:r w:rsidR="001F2C56"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 викладачка буде дотримуватися таких критеріїв оцінювання усної відповіді: демонстрування </w:t>
            </w:r>
            <w:r w:rsidR="001F2C56"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lastRenderedPageBreak/>
              <w:t xml:space="preserve">студентом знання теоретичних основ масових комунікацій; знань цілісність, систематичність, логічна послідовність викладу матеріалу; </w:t>
            </w:r>
          </w:p>
          <w:p w:rsidR="001F2C56" w:rsidRPr="00F46412" w:rsidRDefault="001F2C56" w:rsidP="002120A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повнота розкриття питання; уміння формулювати власне ставлення до проблеми, робити аргументовані висновки; опрацювання сучасних наукових інформаційних джерел.</w:t>
            </w:r>
          </w:p>
          <w:p w:rsidR="001F2C56" w:rsidRPr="00F46412" w:rsidRDefault="001F2C56" w:rsidP="00DE33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: </w:t>
            </w:r>
            <w:proofErr w:type="spellStart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https</w:t>
            </w:r>
            <w:proofErr w:type="spellEnd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://</w:t>
            </w:r>
            <w:proofErr w:type="spellStart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moodle.znu.edu.ua</w:t>
            </w:r>
            <w:proofErr w:type="spellEnd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  <w:proofErr w:type="spellStart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course</w:t>
            </w:r>
            <w:proofErr w:type="spellEnd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</w:t>
            </w:r>
            <w:proofErr w:type="spellStart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view.php?id</w:t>
            </w:r>
            <w:proofErr w:type="spellEnd"/>
            <w:r w:rsidR="00DE33BC"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=1678</w:t>
            </w:r>
          </w:p>
        </w:tc>
        <w:tc>
          <w:tcPr>
            <w:tcW w:w="851" w:type="dxa"/>
            <w:tcBorders>
              <w:bottom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</w:tr>
      <w:tr w:rsidR="001F2C56" w:rsidRPr="00F46412" w:rsidTr="002120A7">
        <w:trPr>
          <w:trHeight w:val="55"/>
        </w:trPr>
        <w:tc>
          <w:tcPr>
            <w:tcW w:w="851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1F2C56" w:rsidRPr="00F46412" w:rsidTr="002120A7">
        <w:trPr>
          <w:trHeight w:val="688"/>
        </w:trPr>
        <w:tc>
          <w:tcPr>
            <w:tcW w:w="851" w:type="dxa"/>
            <w:vMerge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F2C56" w:rsidRPr="00F46412" w:rsidRDefault="001F2C56" w:rsidP="00DE33B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Практичне завдання: </w:t>
            </w:r>
            <w:r w:rsidR="00DE33BC" w:rsidRPr="00DE33BC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Розробіть імідж-програму для Надії Петрівни, яка має дві вищі економічні освіти, працює двірником та балотується на пост мера Запоріжжя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E33BC" w:rsidRPr="00F46412" w:rsidRDefault="00DE33BC" w:rsidP="00DE3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Імідж-програма має включати: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Розробку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габітарного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іміджу Надії Петрівни (зовнішній вигляд, зачіска, макіяж, набір костюмів, вибір кольорової гами, хода, мова жестів, міміка, портфоліо для преси).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Розробку імідж-легенди Надії Петрівни для засобів масової інформації, у якій означується її біографія та тернистий шлях до великої політики.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Розробку політичної програми – на які суспільні, культурні, господарські, індустріальні, інфраструктурні проблеми міста Запоріжжя буде спрямована її діяльність (прописати кожен крок та об’єкт).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Розробку політичної символіки (логотип партії, шрифти слоганів, кольори та символ).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Розробку агітаційних слоганів та макетів зовнішньої політичної реклами (2-3 позиції).</w:t>
            </w:r>
          </w:p>
          <w:p w:rsidR="00DE33BC" w:rsidRPr="00F46412" w:rsidRDefault="00DE33BC" w:rsidP="00DE3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Розробку промов для різних аудиторних груп (студентська </w:t>
            </w: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молодь, пенсіонери, представники заводу “Запоріжсталь”, освітяни, містяни на площі Центральній (у межах мітингу)). Спіч має містити не менше 2000 знаків й враховувати специфіку кожної аудиторної групи.</w:t>
            </w:r>
          </w:p>
          <w:p w:rsidR="001F2C56" w:rsidRPr="00A5430C" w:rsidRDefault="001F2C56" w:rsidP="002120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F2C56" w:rsidRPr="00F46412" w:rsidRDefault="001F2C56" w:rsidP="002120A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lastRenderedPageBreak/>
              <w:t>Максимальна кількість балів</w:t>
            </w:r>
            <w:r w:rsidRPr="00F46412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 xml:space="preserve"> – </w:t>
            </w: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20 здобувається студентами за умови дотримання алгоритму </w:t>
            </w:r>
            <w:proofErr w:type="spellStart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іміджмейкінгу</w:t>
            </w:r>
            <w:proofErr w:type="spellEnd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 політичного діяча та дотримання мовностилістичних норм української мови. Зниження загального балу відбувається за наявності концептуальних </w:t>
            </w: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lastRenderedPageBreak/>
              <w:t xml:space="preserve">помилок задуму </w:t>
            </w:r>
            <w:proofErr w:type="spellStart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проєкту</w:t>
            </w:r>
            <w:proofErr w:type="spellEnd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, непрофесійного володіння українською мовою.</w:t>
            </w:r>
          </w:p>
          <w:p w:rsidR="001F2C56" w:rsidRPr="00F46412" w:rsidRDefault="001F2C56" w:rsidP="002120A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 xml:space="preserve">Більш детальну інформацію та зразки </w:t>
            </w:r>
            <w:proofErr w:type="spellStart"/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 xml:space="preserve"> попередніх років можна знайти за посиланням: </w:t>
            </w:r>
            <w:hyperlink r:id="rId6" w:history="1">
              <w:proofErr w:type="spellStart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https</w:t>
              </w:r>
              <w:proofErr w:type="spellEnd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://</w:t>
              </w:r>
              <w:proofErr w:type="spellStart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moodle.znu.edu.ua</w:t>
              </w:r>
              <w:proofErr w:type="spellEnd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course</w:t>
              </w:r>
              <w:proofErr w:type="spellEnd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/</w:t>
              </w:r>
              <w:proofErr w:type="spellStart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view.php?id</w:t>
              </w:r>
              <w:proofErr w:type="spellEnd"/>
              <w:r w:rsidRPr="00F46412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uk-UA"/>
                </w:rPr>
                <w:t>=1207</w:t>
              </w:r>
            </w:hyperlink>
          </w:p>
          <w:p w:rsidR="001F2C56" w:rsidRPr="00F46412" w:rsidRDefault="001F2C56" w:rsidP="002120A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</w:pPr>
          </w:p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</w:tr>
      <w:tr w:rsidR="001F2C56" w:rsidRPr="00F46412" w:rsidTr="002120A7"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9639" w:type="dxa"/>
            <w:gridSpan w:val="3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1F2C56" w:rsidRPr="00F46412" w:rsidRDefault="001F2C56" w:rsidP="002120A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1F2C56" w:rsidRPr="00F46412" w:rsidRDefault="001F2C56" w:rsidP="001F2C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64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Pr="00F464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F464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Рекомендована </w:t>
      </w: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література</w:t>
      </w:r>
    </w:p>
    <w:p w:rsidR="001F2C56" w:rsidRDefault="001F2C56" w:rsidP="001F2C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641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Основна </w:t>
      </w:r>
    </w:p>
    <w:p w:rsidR="00DE33BC" w:rsidRP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Барна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Н. В.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Іміджелогія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навчальний посібник. Київ : Вид-во ун-ту “Україна”, 2007. 217 с. </w:t>
      </w:r>
    </w:p>
    <w:p w:rsidR="00DE33BC" w:rsidRP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Бондаренко І. С.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Іміджелогія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Психологія іміджу: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.-метод.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посібн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для 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студ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освітньо-кваліфікаційного  рівня «бакалавр» напряму  підготовки  «Реклама і зв’язки  з громадськістю». Запоріжжя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ЗНУ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2014. 122 с.</w:t>
      </w:r>
    </w:p>
    <w:p w:rsidR="00DE33BC" w:rsidRP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Бондаренко І. С.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Іміджелогія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Імідж особистості: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.-метод.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посін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для студентів освітньо-кваліфікаційного рівня «бакалавр» напряму підготовки «Реклама і зв’язки з громадськістю». Запоріжжя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ЗНУ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2014. 162 с.</w:t>
      </w:r>
    </w:p>
    <w:p w:rsid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Бондаренко І. С.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Іміджелогія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системі гуманітарних знань: культурно-освітні стратегії. Запоріжжя : Запорізький національний університет, 2016. 320 с. (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ISBN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978-966-599-541-8).</w:t>
      </w:r>
    </w:p>
    <w:p w:rsid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Почепцов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Г. Г.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Имиджелогия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Москва;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Киев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-во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Ваклер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576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с.</w:t>
      </w:r>
      <w:proofErr w:type="spellEnd"/>
    </w:p>
    <w:p w:rsidR="00DE33BC" w:rsidRPr="00DE33BC" w:rsidRDefault="00DE33BC" w:rsidP="00DE33BC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Шепель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 М.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Профессия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имиджмейкер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Ростов н/Д: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Феникс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2008. 523 с.</w:t>
      </w:r>
    </w:p>
    <w:p w:rsidR="00DE33BC" w:rsidRPr="00DE33BC" w:rsidRDefault="00DE33BC" w:rsidP="00DE33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Додаткова</w:t>
      </w:r>
      <w:proofErr w:type="spellEnd"/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Барт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 Система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Моды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Статьи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семиотике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культуры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;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пер.с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фр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.,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вступ.ст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и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сост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С.Н.Зенкина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Москва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Издательсьтво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им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Сабашниковых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2004. 512 с.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Елина Е. А.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Семиотика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рекламы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URL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http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://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book-online.com.ua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read.php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?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book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=3754.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Ковальчук А. С.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Основы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имиджиологии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и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делового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общения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учеб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пособие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студентов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вузов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Ростов-на-Дону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Феникс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2006. 347 с.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Косяк В. А. Людина та її тілесність у різних формах культури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посіб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для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студ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вищ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закл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Суми : Університетська книга, 2010.  318 с.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Лотман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Ю. М. О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семиосфере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Юрий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Михайлович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Лотман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//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Лотман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Ю. М.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Избранные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статьи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в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трѐх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томах /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Юрий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Михайлович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Лотман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Таллинн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1992. Т. I.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Мантуло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Н. Б. Семіотика дискурсу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паблік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рилейшнз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URL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: http://archive.nbuv.gov.ua/portal/Soc_Gum/Dtr_gn/2012_2/files/GN212_27.pdf.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Почепцов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Г.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Коммуникативное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пространство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как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сфера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йствия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ПР. Москва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Рефл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-бук;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Киев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Ваклер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2001. 640 с.</w:t>
      </w:r>
    </w:p>
    <w:p w:rsidR="00DE33BC" w:rsidRPr="00DE33BC" w:rsidRDefault="00DE33BC" w:rsidP="00DE33B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Эко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Отсутствующая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структура.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Введение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семиологию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Санкт-Петербург : </w:t>
      </w:r>
      <w:proofErr w:type="spellStart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Симпозиум</w:t>
      </w:r>
      <w:proofErr w:type="spellEnd"/>
      <w:r w:rsidRPr="00DE33B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2004. 544 с.</w:t>
      </w:r>
    </w:p>
    <w:p w:rsidR="00DE33BC" w:rsidRPr="00DE33BC" w:rsidRDefault="00DE33BC" w:rsidP="00DE33B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10145" w:rsidRDefault="00DE33BC">
      <w:bookmarkStart w:id="0" w:name="_GoBack"/>
      <w:bookmarkEnd w:id="0"/>
    </w:p>
    <w:sectPr w:rsidR="00E10145" w:rsidSect="001F2C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35B"/>
    <w:multiLevelType w:val="hybridMultilevel"/>
    <w:tmpl w:val="AF4EE774"/>
    <w:lvl w:ilvl="0" w:tplc="EEBC2F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45770"/>
    <w:multiLevelType w:val="hybridMultilevel"/>
    <w:tmpl w:val="39224AF0"/>
    <w:lvl w:ilvl="0" w:tplc="D9180C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F12EB"/>
    <w:multiLevelType w:val="hybridMultilevel"/>
    <w:tmpl w:val="DA22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E877CD"/>
    <w:multiLevelType w:val="hybridMultilevel"/>
    <w:tmpl w:val="B18E06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0E35F8"/>
    <w:multiLevelType w:val="hybridMultilevel"/>
    <w:tmpl w:val="65A2679E"/>
    <w:lvl w:ilvl="0" w:tplc="914A671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C8A1410"/>
    <w:multiLevelType w:val="hybridMultilevel"/>
    <w:tmpl w:val="CD0A9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6"/>
    <w:rsid w:val="000035CB"/>
    <w:rsid w:val="001F2C56"/>
    <w:rsid w:val="00213CE0"/>
    <w:rsid w:val="00511070"/>
    <w:rsid w:val="00637797"/>
    <w:rsid w:val="00A31852"/>
    <w:rsid w:val="00D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56"/>
    <w:pPr>
      <w:ind w:left="708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1F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56"/>
    <w:pPr>
      <w:ind w:left="708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1F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2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2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2021-08-29T10:15:00Z</dcterms:created>
  <dcterms:modified xsi:type="dcterms:W3CDTF">2021-08-29T11:02:00Z</dcterms:modified>
</cp:coreProperties>
</file>