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29" w:rsidRDefault="00774429" w:rsidP="00AA305F">
      <w:pPr>
        <w:spacing w:line="360" w:lineRule="auto"/>
        <w:ind w:right="-568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C02EB6" w:rsidRDefault="00C02EB6" w:rsidP="00AA305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Введение------------------------------------------------------------------------</w:t>
      </w:r>
      <w:r w:rsidR="00AA305F">
        <w:rPr>
          <w:b/>
          <w:bCs/>
          <w:sz w:val="32"/>
          <w:szCs w:val="32"/>
        </w:rPr>
        <w:t>--</w:t>
      </w:r>
      <w:r w:rsidR="00CE71DB">
        <w:rPr>
          <w:b/>
          <w:bCs/>
          <w:sz w:val="32"/>
          <w:szCs w:val="32"/>
        </w:rPr>
        <w:t>- 3</w:t>
      </w:r>
    </w:p>
    <w:p w:rsidR="00D51E10" w:rsidRDefault="00D51E10" w:rsidP="00AA305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1. Особенности экономического развития ЕС.</w:t>
      </w:r>
    </w:p>
    <w:p w:rsidR="00D04B78" w:rsidRDefault="00D04B78" w:rsidP="00AA305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Европейского Союза---------------------------------------------------</w:t>
      </w:r>
      <w:r w:rsidR="00AA305F">
        <w:rPr>
          <w:b/>
          <w:sz w:val="28"/>
          <w:szCs w:val="28"/>
        </w:rPr>
        <w:t>---</w:t>
      </w:r>
      <w:r w:rsidR="00CE71DB">
        <w:rPr>
          <w:b/>
          <w:sz w:val="28"/>
          <w:szCs w:val="28"/>
        </w:rPr>
        <w:t>-- 4</w:t>
      </w:r>
    </w:p>
    <w:p w:rsidR="00D04B78" w:rsidRDefault="00D04B78" w:rsidP="00AA305F">
      <w:pPr>
        <w:widowControl w:val="0"/>
        <w:jc w:val="both"/>
        <w:rPr>
          <w:b/>
          <w:bCs/>
          <w:sz w:val="32"/>
          <w:szCs w:val="32"/>
        </w:rPr>
      </w:pPr>
      <w:r w:rsidRPr="00E82218">
        <w:rPr>
          <w:b/>
          <w:bCs/>
          <w:sz w:val="32"/>
          <w:szCs w:val="32"/>
        </w:rPr>
        <w:t>Экономический рост</w:t>
      </w:r>
      <w:r>
        <w:rPr>
          <w:b/>
          <w:bCs/>
          <w:sz w:val="32"/>
          <w:szCs w:val="32"/>
        </w:rPr>
        <w:t>-------------------------------------------------------</w:t>
      </w:r>
      <w:r w:rsidR="00AA305F">
        <w:rPr>
          <w:b/>
          <w:bCs/>
          <w:sz w:val="32"/>
          <w:szCs w:val="32"/>
        </w:rPr>
        <w:t>---</w:t>
      </w:r>
      <w:r w:rsidR="00CE71DB">
        <w:rPr>
          <w:b/>
          <w:bCs/>
          <w:sz w:val="32"/>
          <w:szCs w:val="32"/>
        </w:rPr>
        <w:t>- 5</w:t>
      </w:r>
    </w:p>
    <w:p w:rsidR="00D04B78" w:rsidRDefault="00D04B78" w:rsidP="00AA305F">
      <w:pPr>
        <w:widowControl w:val="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Анализ безработицы и инфляции--------------------------------------</w:t>
      </w:r>
      <w:r w:rsidR="00AA305F">
        <w:rPr>
          <w:rFonts w:cs="Times New Roman"/>
          <w:b/>
          <w:sz w:val="32"/>
          <w:szCs w:val="32"/>
        </w:rPr>
        <w:t>---</w:t>
      </w:r>
      <w:r w:rsidR="00CE71DB">
        <w:rPr>
          <w:rFonts w:cs="Times New Roman"/>
          <w:b/>
          <w:sz w:val="32"/>
          <w:szCs w:val="32"/>
        </w:rPr>
        <w:t>- 9</w:t>
      </w:r>
    </w:p>
    <w:p w:rsidR="00D04B78" w:rsidRDefault="00D04B78" w:rsidP="00AA305F">
      <w:pPr>
        <w:widowControl w:val="0"/>
        <w:jc w:val="both"/>
        <w:rPr>
          <w:b/>
          <w:sz w:val="28"/>
          <w:szCs w:val="28"/>
        </w:rPr>
      </w:pPr>
      <w:r w:rsidRPr="00E46422">
        <w:rPr>
          <w:b/>
          <w:sz w:val="28"/>
          <w:szCs w:val="28"/>
        </w:rPr>
        <w:t xml:space="preserve">Поиски </w:t>
      </w:r>
      <w:r w:rsidR="00AD037D" w:rsidRPr="00E46422">
        <w:rPr>
          <w:b/>
          <w:sz w:val="28"/>
          <w:szCs w:val="28"/>
        </w:rPr>
        <w:t>подтверждения</w:t>
      </w:r>
      <w:r w:rsidRPr="00E46422">
        <w:rPr>
          <w:b/>
          <w:sz w:val="28"/>
          <w:szCs w:val="28"/>
        </w:rPr>
        <w:t xml:space="preserve"> кривой Филипса</w:t>
      </w:r>
      <w:r>
        <w:rPr>
          <w:b/>
          <w:sz w:val="28"/>
          <w:szCs w:val="28"/>
        </w:rPr>
        <w:t>---------------------------------------</w:t>
      </w:r>
      <w:r w:rsidR="00AA305F">
        <w:rPr>
          <w:b/>
          <w:sz w:val="28"/>
          <w:szCs w:val="28"/>
        </w:rPr>
        <w:t>----</w:t>
      </w:r>
      <w:r w:rsidR="00CE71DB">
        <w:rPr>
          <w:b/>
          <w:sz w:val="28"/>
          <w:szCs w:val="28"/>
        </w:rPr>
        <w:t xml:space="preserve"> 12</w:t>
      </w:r>
    </w:p>
    <w:p w:rsidR="00D04B78" w:rsidRDefault="00D04B78" w:rsidP="00AA305F">
      <w:pPr>
        <w:jc w:val="both"/>
        <w:rPr>
          <w:rFonts w:eastAsiaTheme="minorEastAsia" w:cs="Times New Roman"/>
          <w:b/>
          <w:sz w:val="32"/>
          <w:szCs w:val="32"/>
        </w:rPr>
      </w:pPr>
      <w:r w:rsidRPr="00B823BC">
        <w:rPr>
          <w:rFonts w:eastAsiaTheme="minorEastAsia" w:cs="Times New Roman"/>
          <w:b/>
          <w:sz w:val="32"/>
          <w:szCs w:val="32"/>
        </w:rPr>
        <w:t>Анализ сближения основных макроэкономических показателей в странах членах ЕС. Интеграция экономик ЦВ</w:t>
      </w:r>
      <w:r>
        <w:rPr>
          <w:rFonts w:eastAsiaTheme="minorEastAsia" w:cs="Times New Roman"/>
          <w:b/>
          <w:sz w:val="32"/>
          <w:szCs w:val="32"/>
        </w:rPr>
        <w:t>Е----------------</w:t>
      </w:r>
      <w:r w:rsidR="00AA305F">
        <w:rPr>
          <w:rFonts w:eastAsiaTheme="minorEastAsia" w:cs="Times New Roman"/>
          <w:b/>
          <w:sz w:val="32"/>
          <w:szCs w:val="32"/>
        </w:rPr>
        <w:t>-----</w:t>
      </w:r>
      <w:r w:rsidR="004C4DF9">
        <w:rPr>
          <w:rFonts w:eastAsiaTheme="minorEastAsia" w:cs="Times New Roman"/>
          <w:b/>
          <w:sz w:val="32"/>
          <w:szCs w:val="32"/>
        </w:rPr>
        <w:t xml:space="preserve"> 14</w:t>
      </w:r>
    </w:p>
    <w:p w:rsidR="00D51E10" w:rsidRDefault="00D51E10" w:rsidP="00AA305F">
      <w:pPr>
        <w:jc w:val="both"/>
        <w:rPr>
          <w:b/>
          <w:sz w:val="32"/>
          <w:szCs w:val="32"/>
        </w:rPr>
      </w:pPr>
      <w:r w:rsidRPr="00D04B78">
        <w:rPr>
          <w:b/>
          <w:sz w:val="32"/>
          <w:szCs w:val="32"/>
        </w:rPr>
        <w:t>Внешняя торговля. Тор</w:t>
      </w:r>
      <w:r>
        <w:rPr>
          <w:b/>
          <w:sz w:val="32"/>
          <w:szCs w:val="32"/>
        </w:rPr>
        <w:t>говый баланс. Платежный баланс----</w:t>
      </w:r>
      <w:r w:rsidR="00AA305F">
        <w:rPr>
          <w:b/>
          <w:sz w:val="32"/>
          <w:szCs w:val="32"/>
        </w:rPr>
        <w:t>---</w:t>
      </w:r>
      <w:r w:rsidR="004C4DF9">
        <w:rPr>
          <w:b/>
          <w:sz w:val="32"/>
          <w:szCs w:val="32"/>
        </w:rPr>
        <w:t xml:space="preserve"> 21</w:t>
      </w:r>
    </w:p>
    <w:p w:rsidR="00D51E10" w:rsidRDefault="00D51E10" w:rsidP="00AA305F">
      <w:pPr>
        <w:jc w:val="both"/>
        <w:rPr>
          <w:b/>
          <w:sz w:val="32"/>
          <w:szCs w:val="32"/>
        </w:rPr>
      </w:pPr>
      <w:r w:rsidRPr="00EF0CD6">
        <w:rPr>
          <w:b/>
          <w:sz w:val="32"/>
          <w:szCs w:val="32"/>
        </w:rPr>
        <w:t xml:space="preserve">Долговой кризис Европейского </w:t>
      </w:r>
      <w:bookmarkStart w:id="0" w:name="_GoBack"/>
      <w:bookmarkEnd w:id="0"/>
      <w:r w:rsidRPr="00EF0CD6">
        <w:rPr>
          <w:b/>
          <w:sz w:val="32"/>
          <w:szCs w:val="32"/>
        </w:rPr>
        <w:t>союза</w:t>
      </w:r>
      <w:r w:rsidRPr="00AA305F">
        <w:rPr>
          <w:b/>
          <w:sz w:val="32"/>
          <w:szCs w:val="32"/>
        </w:rPr>
        <w:t>--------------------------------</w:t>
      </w:r>
      <w:r w:rsidR="00AA305F" w:rsidRPr="00AA305F">
        <w:rPr>
          <w:b/>
          <w:sz w:val="32"/>
          <w:szCs w:val="32"/>
        </w:rPr>
        <w:t>---</w:t>
      </w:r>
      <w:r w:rsidR="00AA305F">
        <w:rPr>
          <w:b/>
          <w:sz w:val="32"/>
          <w:szCs w:val="32"/>
        </w:rPr>
        <w:t xml:space="preserve"> </w:t>
      </w:r>
      <w:r w:rsidR="004C4DF9">
        <w:rPr>
          <w:b/>
          <w:sz w:val="32"/>
          <w:szCs w:val="32"/>
        </w:rPr>
        <w:t>28</w:t>
      </w:r>
    </w:p>
    <w:p w:rsidR="00D51E10" w:rsidRDefault="00D51E10" w:rsidP="00AA305F">
      <w:pPr>
        <w:jc w:val="both"/>
        <w:rPr>
          <w:rFonts w:eastAsiaTheme="minorEastAsia" w:cs="Times New Roman"/>
          <w:b/>
          <w:sz w:val="32"/>
          <w:szCs w:val="32"/>
        </w:rPr>
      </w:pPr>
    </w:p>
    <w:p w:rsidR="00C02EB6" w:rsidRDefault="00C02EB6" w:rsidP="00AA305F">
      <w:pPr>
        <w:widowControl w:val="0"/>
        <w:jc w:val="both"/>
        <w:rPr>
          <w:b/>
          <w:bCs/>
          <w:sz w:val="28"/>
          <w:szCs w:val="28"/>
        </w:rPr>
      </w:pPr>
    </w:p>
    <w:p w:rsidR="00D51E10" w:rsidRDefault="004C4DF9" w:rsidP="00AA305F">
      <w:pPr>
        <w:rPr>
          <w:rFonts w:eastAsiaTheme="minorEastAsia" w:cs="Times New Roman"/>
          <w:b/>
          <w:sz w:val="32"/>
          <w:szCs w:val="32"/>
        </w:rPr>
      </w:pPr>
      <w:r>
        <w:rPr>
          <w:rFonts w:eastAsiaTheme="minorEastAsia" w:cs="Times New Roman"/>
          <w:b/>
          <w:sz w:val="32"/>
          <w:szCs w:val="32"/>
        </w:rPr>
        <w:t>Глава 2</w:t>
      </w:r>
      <w:r w:rsidR="00D51E10">
        <w:rPr>
          <w:rFonts w:eastAsiaTheme="minorEastAsia" w:cs="Times New Roman"/>
          <w:b/>
          <w:sz w:val="32"/>
          <w:szCs w:val="32"/>
        </w:rPr>
        <w:t>. Статистические расчеты экономических индикаторов.</w:t>
      </w:r>
    </w:p>
    <w:p w:rsidR="00C02EB6" w:rsidRDefault="00C02EB6" w:rsidP="00AA30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макроэкономические показатели--------------------------</w:t>
      </w:r>
      <w:r w:rsidR="00F869F4">
        <w:rPr>
          <w:b/>
          <w:sz w:val="32"/>
          <w:szCs w:val="32"/>
        </w:rPr>
        <w:t xml:space="preserve"> 34</w:t>
      </w:r>
    </w:p>
    <w:p w:rsidR="006B7D4C" w:rsidRDefault="00C02EB6" w:rsidP="00AA30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Расчеты экономических индикаторов </w:t>
      </w:r>
      <w:r w:rsidR="00985DD6">
        <w:rPr>
          <w:b/>
          <w:sz w:val="32"/>
          <w:szCs w:val="32"/>
        </w:rPr>
        <w:t>---------------------------</w:t>
      </w:r>
      <w:r>
        <w:rPr>
          <w:b/>
          <w:sz w:val="32"/>
          <w:szCs w:val="32"/>
        </w:rPr>
        <w:t>----</w:t>
      </w:r>
      <w:r w:rsidR="00F869F4">
        <w:rPr>
          <w:b/>
          <w:sz w:val="32"/>
          <w:szCs w:val="32"/>
        </w:rPr>
        <w:t>---</w:t>
      </w:r>
      <w:r w:rsidR="00AA305F">
        <w:rPr>
          <w:b/>
          <w:sz w:val="32"/>
          <w:szCs w:val="32"/>
        </w:rPr>
        <w:t xml:space="preserve"> </w:t>
      </w:r>
      <w:r w:rsidR="00F869F4">
        <w:rPr>
          <w:b/>
          <w:sz w:val="32"/>
          <w:szCs w:val="32"/>
        </w:rPr>
        <w:t>40</w:t>
      </w:r>
    </w:p>
    <w:p w:rsidR="00C02EB6" w:rsidRDefault="00C02EB6" w:rsidP="00AA30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Заключение-------------------------------------------------------------</w:t>
      </w:r>
      <w:r w:rsidR="00F869F4">
        <w:rPr>
          <w:b/>
          <w:sz w:val="32"/>
          <w:szCs w:val="32"/>
        </w:rPr>
        <w:t>--------- 49</w:t>
      </w:r>
    </w:p>
    <w:p w:rsidR="006B7D4C" w:rsidRDefault="00C02EB6" w:rsidP="00AA305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литературы-------</w:t>
      </w:r>
      <w:r w:rsidR="00F869F4">
        <w:rPr>
          <w:b/>
          <w:sz w:val="32"/>
          <w:szCs w:val="32"/>
        </w:rPr>
        <w:t>-------------------------------- 51</w:t>
      </w:r>
    </w:p>
    <w:p w:rsidR="00C02EB6" w:rsidRPr="00C02EB6" w:rsidRDefault="00C02EB6" w:rsidP="00AA305F">
      <w:pPr>
        <w:rPr>
          <w:b/>
          <w:sz w:val="32"/>
          <w:szCs w:val="32"/>
        </w:rPr>
      </w:pPr>
    </w:p>
    <w:p w:rsidR="004C4DF9" w:rsidRDefault="004C4DF9" w:rsidP="00AA305F">
      <w:pPr>
        <w:spacing w:line="360" w:lineRule="auto"/>
        <w:jc w:val="center"/>
        <w:rPr>
          <w:b/>
          <w:bCs/>
          <w:sz w:val="32"/>
          <w:szCs w:val="32"/>
        </w:rPr>
      </w:pPr>
    </w:p>
    <w:p w:rsidR="004C4DF9" w:rsidRDefault="004C4DF9" w:rsidP="00AA305F">
      <w:pPr>
        <w:spacing w:line="360" w:lineRule="auto"/>
        <w:jc w:val="center"/>
        <w:rPr>
          <w:b/>
          <w:bCs/>
          <w:sz w:val="32"/>
          <w:szCs w:val="32"/>
        </w:rPr>
      </w:pPr>
    </w:p>
    <w:p w:rsidR="004C4DF9" w:rsidRDefault="004C4DF9" w:rsidP="00AA305F">
      <w:pPr>
        <w:spacing w:line="360" w:lineRule="auto"/>
        <w:jc w:val="center"/>
        <w:rPr>
          <w:b/>
          <w:bCs/>
          <w:sz w:val="32"/>
          <w:szCs w:val="32"/>
        </w:rPr>
      </w:pPr>
    </w:p>
    <w:p w:rsidR="004C4DF9" w:rsidRDefault="004C4DF9" w:rsidP="00AA305F">
      <w:pPr>
        <w:spacing w:line="360" w:lineRule="auto"/>
        <w:jc w:val="center"/>
        <w:rPr>
          <w:b/>
          <w:bCs/>
          <w:sz w:val="32"/>
          <w:szCs w:val="32"/>
        </w:rPr>
      </w:pPr>
    </w:p>
    <w:p w:rsidR="00EF0CD6" w:rsidRDefault="00EF0CD6" w:rsidP="00AA305F">
      <w:pPr>
        <w:spacing w:line="360" w:lineRule="auto"/>
        <w:jc w:val="center"/>
        <w:rPr>
          <w:b/>
          <w:bCs/>
          <w:sz w:val="32"/>
          <w:szCs w:val="32"/>
        </w:rPr>
      </w:pPr>
      <w:r w:rsidRPr="00EF0CD6">
        <w:rPr>
          <w:b/>
          <w:bCs/>
          <w:sz w:val="32"/>
          <w:szCs w:val="32"/>
        </w:rPr>
        <w:lastRenderedPageBreak/>
        <w:t>Введение.</w:t>
      </w:r>
    </w:p>
    <w:p w:rsidR="00637572" w:rsidRDefault="00EF0CD6" w:rsidP="00AA30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Европейский Союз является самой глубоко интегрированной группировкой стран в современном мире. История его эволюции имеет долгий и интересный путь, необходимость анализа которого с новой и новой силой проявляется в рамках современной постиндустриальной стадии человеческого развития. Опыт ЕС вскрывает экономические перспективы региональных объединений, а также теоретически обоснованную базу, и практический инструментарий для общемировой интеграции. </w:t>
      </w:r>
      <w:r w:rsidR="005A592C">
        <w:rPr>
          <w:bCs/>
          <w:sz w:val="28"/>
          <w:szCs w:val="28"/>
        </w:rPr>
        <w:t xml:space="preserve">В данном исследовании мы проанализируем экономические  </w:t>
      </w:r>
      <w:proofErr w:type="gramStart"/>
      <w:r w:rsidR="005A592C">
        <w:rPr>
          <w:bCs/>
          <w:sz w:val="28"/>
          <w:szCs w:val="28"/>
        </w:rPr>
        <w:t>и</w:t>
      </w:r>
      <w:r w:rsidR="003D3B95">
        <w:rPr>
          <w:bCs/>
          <w:sz w:val="28"/>
          <w:szCs w:val="28"/>
        </w:rPr>
        <w:t>зменения</w:t>
      </w:r>
      <w:proofErr w:type="gramEnd"/>
      <w:r w:rsidR="003D3B95">
        <w:rPr>
          <w:bCs/>
          <w:sz w:val="28"/>
          <w:szCs w:val="28"/>
        </w:rPr>
        <w:t xml:space="preserve"> протекающие в ЕС, изучим все эндогенные, а также экзогенные факторы устойчивого экономического роста данного региона мира, а также проанализируем ключевые аспекты аппарата международной статистики. В частности методы </w:t>
      </w:r>
      <w:r w:rsidR="006B7D4C">
        <w:rPr>
          <w:bCs/>
          <w:sz w:val="28"/>
          <w:szCs w:val="28"/>
        </w:rPr>
        <w:t>международных сопоставлений ВВП</w:t>
      </w:r>
      <w:r w:rsidR="0059116A">
        <w:rPr>
          <w:bCs/>
          <w:sz w:val="28"/>
          <w:szCs w:val="28"/>
        </w:rPr>
        <w:t>.</w:t>
      </w:r>
    </w:p>
    <w:p w:rsidR="00637572" w:rsidRDefault="00C02EB6" w:rsidP="00AA30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данной курсовой работы является выявление особенностей экономического развития Европейского союза как единого субъекта мировой экономики в условиях развивающихся интеграционных процессов. </w:t>
      </w:r>
    </w:p>
    <w:p w:rsidR="00C02EB6" w:rsidRDefault="00C02EB6" w:rsidP="00AA305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поставленной целью необходимо выделить следующие задачи:</w:t>
      </w:r>
    </w:p>
    <w:p w:rsidR="00AA305F" w:rsidRDefault="00C02EB6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Исследование динамики экономического роста, и фундаментальных факторов его обеспечивающих.</w:t>
      </w:r>
    </w:p>
    <w:p w:rsidR="00AA305F" w:rsidRDefault="00C02EB6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 w:rsidRPr="00AA305F">
        <w:rPr>
          <w:bCs/>
          <w:sz w:val="28"/>
          <w:szCs w:val="28"/>
        </w:rPr>
        <w:t xml:space="preserve">Анализ структуры </w:t>
      </w:r>
      <w:r w:rsidR="0070473D" w:rsidRPr="00AA305F">
        <w:rPr>
          <w:bCs/>
          <w:sz w:val="28"/>
          <w:szCs w:val="28"/>
        </w:rPr>
        <w:t>экономического производства товаров и услуг.</w:t>
      </w:r>
    </w:p>
    <w:p w:rsidR="00AA305F" w:rsidRDefault="0070473D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 w:rsidRPr="00AA305F">
        <w:rPr>
          <w:bCs/>
          <w:sz w:val="28"/>
          <w:szCs w:val="28"/>
        </w:rPr>
        <w:t xml:space="preserve">Анализ безработицы и инфляции. </w:t>
      </w:r>
    </w:p>
    <w:p w:rsidR="00AA305F" w:rsidRDefault="00DE4343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 w:rsidRPr="00AA305F">
        <w:rPr>
          <w:bCs/>
          <w:sz w:val="28"/>
          <w:szCs w:val="28"/>
        </w:rPr>
        <w:t>Исследование интеграционного процесса внутри ЕС и путей интеграции экономик ЦВЕ.</w:t>
      </w:r>
    </w:p>
    <w:p w:rsidR="00AA305F" w:rsidRDefault="00DE4343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 w:rsidRPr="00AA305F">
        <w:rPr>
          <w:bCs/>
          <w:sz w:val="28"/>
          <w:szCs w:val="28"/>
        </w:rPr>
        <w:t>Анализ внешней торговли, торгового баланса и платежного баланса.</w:t>
      </w:r>
    </w:p>
    <w:p w:rsidR="00DE4343" w:rsidRPr="00AA305F" w:rsidRDefault="00DE4343" w:rsidP="00AA305F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bCs/>
          <w:sz w:val="28"/>
          <w:szCs w:val="28"/>
        </w:rPr>
      </w:pPr>
      <w:r w:rsidRPr="00AA305F">
        <w:rPr>
          <w:bCs/>
          <w:sz w:val="28"/>
          <w:szCs w:val="28"/>
        </w:rPr>
        <w:t>Изучение причин и развития долгового кризиса в ЕС.</w:t>
      </w:r>
    </w:p>
    <w:p w:rsidR="007232F0" w:rsidRDefault="007232F0" w:rsidP="00A07DFC">
      <w:pPr>
        <w:widowControl w:val="0"/>
        <w:spacing w:line="360" w:lineRule="auto"/>
        <w:rPr>
          <w:b/>
          <w:sz w:val="28"/>
          <w:szCs w:val="28"/>
        </w:rPr>
      </w:pPr>
    </w:p>
    <w:p w:rsidR="00A07DFC" w:rsidRDefault="00A07DFC" w:rsidP="00A07DFC">
      <w:pPr>
        <w:widowControl w:val="0"/>
        <w:spacing w:line="360" w:lineRule="auto"/>
        <w:rPr>
          <w:b/>
          <w:sz w:val="28"/>
          <w:szCs w:val="28"/>
        </w:rPr>
      </w:pPr>
    </w:p>
    <w:p w:rsidR="00630EC5" w:rsidRPr="00CE71DB" w:rsidRDefault="002F5C29" w:rsidP="00AA305F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CE71DB">
        <w:rPr>
          <w:b/>
          <w:sz w:val="32"/>
          <w:szCs w:val="32"/>
        </w:rPr>
        <w:lastRenderedPageBreak/>
        <w:t>Экономика Европейского Союза.</w:t>
      </w:r>
    </w:p>
    <w:p w:rsidR="007F6968" w:rsidRPr="007F6968" w:rsidRDefault="002F5C29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Европейский союз - </w:t>
      </w:r>
      <w:r w:rsidRPr="002F5C29">
        <w:rPr>
          <w:sz w:val="28"/>
          <w:szCs w:val="28"/>
        </w:rPr>
        <w:t>экономическое и политическое объединен</w:t>
      </w:r>
      <w:r>
        <w:rPr>
          <w:sz w:val="28"/>
          <w:szCs w:val="28"/>
        </w:rPr>
        <w:t>ие 27 европейских государств.</w:t>
      </w:r>
      <w:r w:rsidRPr="002F5C29">
        <w:rPr>
          <w:sz w:val="28"/>
          <w:szCs w:val="28"/>
        </w:rPr>
        <w:t xml:space="preserve"> Нацеленный на региональную интеграцию, Союз был юридически закреплён Маастрихтским договором в 1992 году на при</w:t>
      </w:r>
      <w:r>
        <w:rPr>
          <w:sz w:val="28"/>
          <w:szCs w:val="28"/>
        </w:rPr>
        <w:t>нципах Европейских сообществ.</w:t>
      </w:r>
      <w:r w:rsidRPr="002F5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Население ЕС составляет 501 миллион человек. Европейская интеграция имеет богатую историю развития. Идея объединения </w:t>
      </w:r>
      <w:proofErr w:type="gramStart"/>
      <w:r>
        <w:rPr>
          <w:sz w:val="28"/>
          <w:szCs w:val="28"/>
        </w:rPr>
        <w:t>Европы</w:t>
      </w:r>
      <w:proofErr w:type="gramEnd"/>
      <w:r>
        <w:rPr>
          <w:sz w:val="28"/>
          <w:szCs w:val="28"/>
        </w:rPr>
        <w:t xml:space="preserve"> выдвигавшаяся мыслителями </w:t>
      </w:r>
      <w:r w:rsidRPr="002F5C29">
        <w:rPr>
          <w:sz w:val="28"/>
          <w:szCs w:val="28"/>
        </w:rPr>
        <w:t>на протяжении истории Европы, с особой силой зазвучали после Второй мировой войны.</w:t>
      </w:r>
      <w:r>
        <w:rPr>
          <w:sz w:val="28"/>
          <w:szCs w:val="28"/>
        </w:rPr>
        <w:t xml:space="preserve"> </w:t>
      </w:r>
      <w:r w:rsidR="007F6968">
        <w:rPr>
          <w:sz w:val="28"/>
          <w:szCs w:val="28"/>
        </w:rPr>
        <w:t>В 1951 году: Бельгия, Германия,</w:t>
      </w:r>
      <w:r w:rsidR="007F6968" w:rsidRPr="007F6968">
        <w:rPr>
          <w:sz w:val="28"/>
          <w:szCs w:val="28"/>
        </w:rPr>
        <w:t xml:space="preserve"> Нидерланды, Люксембург, Франция, Италия подписали договор об учреждении</w:t>
      </w:r>
      <w:r w:rsidR="00096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6AD1" w:rsidRPr="00096AD1">
        <w:rPr>
          <w:sz w:val="28"/>
          <w:szCs w:val="28"/>
        </w:rPr>
        <w:t xml:space="preserve">Европейского объединения угля и стали (ЕОУС, ECSC — </w:t>
      </w:r>
      <w:proofErr w:type="spellStart"/>
      <w:r w:rsidR="00096AD1" w:rsidRPr="00096AD1">
        <w:rPr>
          <w:sz w:val="28"/>
          <w:szCs w:val="28"/>
        </w:rPr>
        <w:t>European</w:t>
      </w:r>
      <w:proofErr w:type="spellEnd"/>
      <w:r w:rsidR="00096AD1" w:rsidRPr="00096AD1">
        <w:rPr>
          <w:sz w:val="28"/>
          <w:szCs w:val="28"/>
        </w:rPr>
        <w:t xml:space="preserve"> </w:t>
      </w:r>
      <w:proofErr w:type="spellStart"/>
      <w:r w:rsidR="00096AD1" w:rsidRPr="00096AD1">
        <w:rPr>
          <w:sz w:val="28"/>
          <w:szCs w:val="28"/>
        </w:rPr>
        <w:t>Coal</w:t>
      </w:r>
      <w:proofErr w:type="spellEnd"/>
      <w:r w:rsidR="00096AD1" w:rsidRPr="00096AD1">
        <w:rPr>
          <w:sz w:val="28"/>
          <w:szCs w:val="28"/>
        </w:rPr>
        <w:t xml:space="preserve"> </w:t>
      </w:r>
      <w:proofErr w:type="spellStart"/>
      <w:r w:rsidR="00096AD1" w:rsidRPr="00096AD1">
        <w:rPr>
          <w:sz w:val="28"/>
          <w:szCs w:val="28"/>
        </w:rPr>
        <w:t>and</w:t>
      </w:r>
      <w:proofErr w:type="spellEnd"/>
      <w:r w:rsidR="00096AD1" w:rsidRPr="00096AD1">
        <w:rPr>
          <w:sz w:val="28"/>
          <w:szCs w:val="28"/>
        </w:rPr>
        <w:t xml:space="preserve"> </w:t>
      </w:r>
      <w:proofErr w:type="spellStart"/>
      <w:r w:rsidR="00096AD1" w:rsidRPr="00096AD1">
        <w:rPr>
          <w:sz w:val="28"/>
          <w:szCs w:val="28"/>
        </w:rPr>
        <w:t>Steel</w:t>
      </w:r>
      <w:proofErr w:type="spellEnd"/>
      <w:r w:rsidR="00096AD1" w:rsidRPr="00096AD1">
        <w:rPr>
          <w:sz w:val="28"/>
          <w:szCs w:val="28"/>
        </w:rPr>
        <w:t xml:space="preserve"> </w:t>
      </w:r>
      <w:proofErr w:type="spellStart"/>
      <w:r w:rsidR="00096AD1" w:rsidRPr="00096AD1">
        <w:rPr>
          <w:sz w:val="28"/>
          <w:szCs w:val="28"/>
        </w:rPr>
        <w:t>Community</w:t>
      </w:r>
      <w:proofErr w:type="spellEnd"/>
      <w:r w:rsidR="00096AD1" w:rsidRPr="00096AD1">
        <w:rPr>
          <w:sz w:val="28"/>
          <w:szCs w:val="28"/>
        </w:rPr>
        <w:t>), целью которого стало объединение европейских ресурсов по производству стали и угля, в силу данный договор вступил с июля 1952 года.</w:t>
      </w:r>
      <w:r w:rsidR="007F6968">
        <w:rPr>
          <w:sz w:val="28"/>
          <w:szCs w:val="28"/>
        </w:rPr>
        <w:t xml:space="preserve"> Это стало  первым шагом на пути создания Европейского союза в той его форме, которой он функционирует на сегодняшний день. </w:t>
      </w:r>
      <w:r w:rsidR="007F6968" w:rsidRPr="007F6968">
        <w:rPr>
          <w:sz w:val="28"/>
          <w:szCs w:val="28"/>
        </w:rPr>
        <w:t xml:space="preserve">С целью углубления экономической интеграции те же шесть государств в 1957 году учредили Европейское экономическое сообщество (ЕЭС, Общий рынок) (EEC — </w:t>
      </w:r>
      <w:proofErr w:type="spellStart"/>
      <w:r w:rsidR="007F6968" w:rsidRPr="007F6968">
        <w:rPr>
          <w:sz w:val="28"/>
          <w:szCs w:val="28"/>
        </w:rPr>
        <w:t>European</w:t>
      </w:r>
      <w:proofErr w:type="spellEnd"/>
      <w:r w:rsidR="007F6968" w:rsidRPr="007F6968">
        <w:rPr>
          <w:sz w:val="28"/>
          <w:szCs w:val="28"/>
        </w:rPr>
        <w:t xml:space="preserve"> </w:t>
      </w:r>
      <w:proofErr w:type="spellStart"/>
      <w:r w:rsidR="007F6968" w:rsidRPr="007F6968">
        <w:rPr>
          <w:sz w:val="28"/>
          <w:szCs w:val="28"/>
        </w:rPr>
        <w:t>Economic</w:t>
      </w:r>
      <w:proofErr w:type="spellEnd"/>
      <w:r w:rsidR="007F6968" w:rsidRPr="007F6968">
        <w:rPr>
          <w:sz w:val="28"/>
          <w:szCs w:val="28"/>
        </w:rPr>
        <w:t xml:space="preserve"> </w:t>
      </w:r>
      <w:proofErr w:type="spellStart"/>
      <w:r w:rsidR="007F6968" w:rsidRPr="007F6968">
        <w:rPr>
          <w:sz w:val="28"/>
          <w:szCs w:val="28"/>
        </w:rPr>
        <w:t>Community</w:t>
      </w:r>
      <w:proofErr w:type="spellEnd"/>
      <w:r w:rsidR="007F6968" w:rsidRPr="007F6968">
        <w:rPr>
          <w:sz w:val="28"/>
          <w:szCs w:val="28"/>
        </w:rPr>
        <w:t xml:space="preserve">) и Европейское сообщество по атомной энергии (Евратом, </w:t>
      </w:r>
      <w:proofErr w:type="spellStart"/>
      <w:r w:rsidR="007F6968" w:rsidRPr="007F6968">
        <w:rPr>
          <w:sz w:val="28"/>
          <w:szCs w:val="28"/>
        </w:rPr>
        <w:t>Euratom</w:t>
      </w:r>
      <w:proofErr w:type="spellEnd"/>
      <w:r w:rsidR="007F6968" w:rsidRPr="007F6968">
        <w:rPr>
          <w:sz w:val="28"/>
          <w:szCs w:val="28"/>
        </w:rPr>
        <w:t xml:space="preserve"> — </w:t>
      </w:r>
      <w:proofErr w:type="spellStart"/>
      <w:r w:rsidR="007F6968" w:rsidRPr="007F6968">
        <w:rPr>
          <w:sz w:val="28"/>
          <w:szCs w:val="28"/>
        </w:rPr>
        <w:t>European</w:t>
      </w:r>
      <w:proofErr w:type="spellEnd"/>
      <w:r w:rsidR="007F6968" w:rsidRPr="007F6968">
        <w:rPr>
          <w:sz w:val="28"/>
          <w:szCs w:val="28"/>
        </w:rPr>
        <w:t xml:space="preserve"> </w:t>
      </w:r>
      <w:proofErr w:type="spellStart"/>
      <w:r w:rsidR="007F6968" w:rsidRPr="007F6968">
        <w:rPr>
          <w:sz w:val="28"/>
          <w:szCs w:val="28"/>
        </w:rPr>
        <w:t>Atomic</w:t>
      </w:r>
      <w:proofErr w:type="spellEnd"/>
      <w:r w:rsidR="007F6968" w:rsidRPr="007F6968">
        <w:rPr>
          <w:sz w:val="28"/>
          <w:szCs w:val="28"/>
        </w:rPr>
        <w:t xml:space="preserve"> </w:t>
      </w:r>
      <w:proofErr w:type="spellStart"/>
      <w:r w:rsidR="007F6968" w:rsidRPr="007F6968">
        <w:rPr>
          <w:sz w:val="28"/>
          <w:szCs w:val="28"/>
        </w:rPr>
        <w:t>Energy</w:t>
      </w:r>
      <w:proofErr w:type="spellEnd"/>
      <w:r w:rsidR="007F6968" w:rsidRPr="007F6968">
        <w:rPr>
          <w:sz w:val="28"/>
          <w:szCs w:val="28"/>
        </w:rPr>
        <w:t xml:space="preserve"> </w:t>
      </w:r>
      <w:proofErr w:type="spellStart"/>
      <w:r w:rsidR="007F6968" w:rsidRPr="007F6968">
        <w:rPr>
          <w:sz w:val="28"/>
          <w:szCs w:val="28"/>
        </w:rPr>
        <w:t>Community</w:t>
      </w:r>
      <w:proofErr w:type="spellEnd"/>
      <w:r w:rsidR="007F6968" w:rsidRPr="007F6968">
        <w:rPr>
          <w:sz w:val="28"/>
          <w:szCs w:val="28"/>
        </w:rPr>
        <w:t>). Самым важным и широким по сфере компетенции из этих трёх европейских сообществ являлось ЕЭС.</w:t>
      </w:r>
    </w:p>
    <w:p w:rsidR="007F6968" w:rsidRPr="007F6968" w:rsidRDefault="007F6968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6968">
        <w:rPr>
          <w:sz w:val="28"/>
          <w:szCs w:val="28"/>
        </w:rPr>
        <w:t>Процесс развития и превращения этих европейских сообществ в современный Европейский союз происходил путём, во-первых, передачи всё большего числа функций управления на наднациональный уровень и, во-вторых, увеличения числа участников интеграции.</w:t>
      </w:r>
      <w:r>
        <w:rPr>
          <w:sz w:val="28"/>
          <w:szCs w:val="28"/>
        </w:rPr>
        <w:t xml:space="preserve"> </w:t>
      </w:r>
      <w:r w:rsidR="00BE7F4A">
        <w:rPr>
          <w:sz w:val="28"/>
          <w:szCs w:val="28"/>
        </w:rPr>
        <w:t>На протяжении интеграции произошло 5 расширений (пятое проходило в 2 этапа).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806"/>
        <w:gridCol w:w="7913"/>
      </w:tblGrid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25 марта 1957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Бельгия, Германия, Италия, Люксембург, Нидерланды, Франция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1 января 1973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Великобритания, Дания, Ирландия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1 января 1981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Греция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января 1986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Испания, Португалия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1 января 1995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Австрия, Финляндия, Швеция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1 мая 2004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A9" w:rsidRDefault="004368A9" w:rsidP="00AA305F">
            <w:pPr>
              <w:spacing w:after="0" w:line="36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Венгрия, Кипр, Латвия, Литва, Мальта, Польша, Словакия, </w:t>
            </w:r>
            <w:r w:rsidR="00E822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Словения, Чехия, Эстония</w:t>
            </w:r>
          </w:p>
        </w:tc>
      </w:tr>
      <w:tr w:rsidR="007F6968" w:rsidRPr="007F6968" w:rsidTr="007F6968">
        <w:trPr>
          <w:trHeight w:val="28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1 января 2007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8" w:rsidRPr="007F6968" w:rsidRDefault="007F6968" w:rsidP="00AA305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68">
              <w:rPr>
                <w:rFonts w:eastAsia="Times New Roman" w:cs="Times New Roman"/>
                <w:sz w:val="24"/>
                <w:szCs w:val="24"/>
                <w:lang w:eastAsia="ru-RU"/>
              </w:rPr>
              <w:t>Болгария, Румыния</w:t>
            </w:r>
          </w:p>
        </w:tc>
      </w:tr>
    </w:tbl>
    <w:p w:rsidR="00BE7F4A" w:rsidRDefault="00BE7F4A" w:rsidP="00AA305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1FF7" w:rsidRDefault="00BE7F4A" w:rsidP="00AA305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Ключевыми принципами в достижении успеха интеграции явились - п</w:t>
      </w:r>
      <w:r w:rsidRPr="00BE7F4A">
        <w:rPr>
          <w:bCs/>
          <w:sz w:val="28"/>
          <w:szCs w:val="28"/>
        </w:rPr>
        <w:t xml:space="preserve">остепенность и </w:t>
      </w:r>
      <w:proofErr w:type="spellStart"/>
      <w:r w:rsidRPr="00BE7F4A">
        <w:rPr>
          <w:bCs/>
          <w:sz w:val="28"/>
          <w:szCs w:val="28"/>
        </w:rPr>
        <w:t>поэтапность</w:t>
      </w:r>
      <w:proofErr w:type="spellEnd"/>
      <w:r w:rsidRPr="00BE7F4A">
        <w:rPr>
          <w:bCs/>
          <w:sz w:val="28"/>
          <w:szCs w:val="28"/>
        </w:rPr>
        <w:t xml:space="preserve"> в продвижении вперед с четким выделением приоритетных задач, которые надлежит решать на определенном этапе развития, приоритет общих долгосрочных интересов над расхождениями национальных интересов и разногласиями. Первоначально принцип </w:t>
      </w:r>
      <w:proofErr w:type="spellStart"/>
      <w:r w:rsidRPr="00BE7F4A">
        <w:rPr>
          <w:bCs/>
          <w:sz w:val="28"/>
          <w:szCs w:val="28"/>
        </w:rPr>
        <w:t>поэтапности</w:t>
      </w:r>
      <w:proofErr w:type="spellEnd"/>
      <w:r w:rsidRPr="00BE7F4A">
        <w:rPr>
          <w:bCs/>
          <w:sz w:val="28"/>
          <w:szCs w:val="28"/>
        </w:rPr>
        <w:t xml:space="preserve"> был сформулирован Ж. </w:t>
      </w:r>
      <w:proofErr w:type="spellStart"/>
      <w:r w:rsidRPr="00BE7F4A">
        <w:rPr>
          <w:bCs/>
          <w:sz w:val="28"/>
          <w:szCs w:val="28"/>
        </w:rPr>
        <w:t>Монне</w:t>
      </w:r>
      <w:proofErr w:type="spellEnd"/>
      <w:r w:rsidRPr="00BE7F4A">
        <w:rPr>
          <w:bCs/>
          <w:sz w:val="28"/>
          <w:szCs w:val="28"/>
        </w:rPr>
        <w:t xml:space="preserve"> и Р. Шуманом еще в конце 40-х – начале 50-х гг. «</w:t>
      </w:r>
      <w:r w:rsidRPr="00BE7F4A">
        <w:rPr>
          <w:bCs/>
          <w:i/>
          <w:sz w:val="28"/>
          <w:szCs w:val="28"/>
        </w:rPr>
        <w:t>Европа</w:t>
      </w:r>
      <w:r w:rsidRPr="00BE7F4A">
        <w:rPr>
          <w:bCs/>
          <w:sz w:val="28"/>
          <w:szCs w:val="28"/>
        </w:rPr>
        <w:t xml:space="preserve">, - подчеркивалось в Декларации Шумана, - </w:t>
      </w:r>
      <w:r w:rsidRPr="00BE7F4A">
        <w:rPr>
          <w:bCs/>
          <w:i/>
          <w:sz w:val="28"/>
          <w:szCs w:val="28"/>
        </w:rPr>
        <w:t xml:space="preserve">не будет построена сразу и целиком; она будет создаваться посредством конкретных достижений, </w:t>
      </w:r>
      <w:proofErr w:type="gramStart"/>
      <w:r w:rsidRPr="00BE7F4A">
        <w:rPr>
          <w:bCs/>
          <w:i/>
          <w:sz w:val="28"/>
          <w:szCs w:val="28"/>
        </w:rPr>
        <w:t>рождающих</w:t>
      </w:r>
      <w:proofErr w:type="gramEnd"/>
      <w:r w:rsidRPr="00BE7F4A">
        <w:rPr>
          <w:bCs/>
          <w:i/>
          <w:sz w:val="28"/>
          <w:szCs w:val="28"/>
        </w:rPr>
        <w:t xml:space="preserve"> прежде всего практическую солидарность</w:t>
      </w:r>
      <w:r w:rsidRPr="00BE7F4A">
        <w:rPr>
          <w:bCs/>
          <w:sz w:val="28"/>
          <w:szCs w:val="28"/>
        </w:rPr>
        <w:t>». Были определены и основные этапы: создание таможенного союза, от него – к общему рынку, далее – к экономическому и валютному союзу, и завершающий этап – к союзу политическому.</w:t>
      </w:r>
      <w:r>
        <w:rPr>
          <w:bCs/>
          <w:sz w:val="28"/>
          <w:szCs w:val="28"/>
        </w:rPr>
        <w:t xml:space="preserve">  Важно </w:t>
      </w:r>
      <w:proofErr w:type="gramStart"/>
      <w:r>
        <w:rPr>
          <w:bCs/>
          <w:sz w:val="28"/>
          <w:szCs w:val="28"/>
        </w:rPr>
        <w:t>отметить</w:t>
      </w:r>
      <w:proofErr w:type="gramEnd"/>
      <w:r>
        <w:rPr>
          <w:bCs/>
          <w:sz w:val="28"/>
          <w:szCs w:val="28"/>
        </w:rPr>
        <w:t xml:space="preserve"> что принимаемые конкретные акты заключались по двум принципам голосования - единогласия</w:t>
      </w:r>
      <w:r w:rsidRPr="00BE7F4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квалифицированного большинства. Именно гибкое применение этих двух подходов в голосовании, в зависимости от характера конкретной решаемой проблемы и его роли в развитии стран членов</w:t>
      </w:r>
      <w:r w:rsidR="00606AF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обеспечили возможность </w:t>
      </w:r>
      <w:r w:rsidR="00606AF5">
        <w:rPr>
          <w:bCs/>
          <w:sz w:val="28"/>
          <w:szCs w:val="28"/>
        </w:rPr>
        <w:t xml:space="preserve">и успех </w:t>
      </w:r>
      <w:r>
        <w:rPr>
          <w:bCs/>
          <w:sz w:val="28"/>
          <w:szCs w:val="28"/>
        </w:rPr>
        <w:t xml:space="preserve">интеграции. </w:t>
      </w:r>
    </w:p>
    <w:p w:rsidR="00606AF5" w:rsidRPr="00E82218" w:rsidRDefault="00606AF5" w:rsidP="00AA305F">
      <w:pPr>
        <w:widowControl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E82218">
        <w:rPr>
          <w:b/>
          <w:bCs/>
          <w:sz w:val="32"/>
          <w:szCs w:val="32"/>
        </w:rPr>
        <w:t>Экономический рост.</w:t>
      </w:r>
    </w:p>
    <w:p w:rsidR="00E82218" w:rsidRDefault="00606AF5" w:rsidP="00AA305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Экономика ЕС является сложной структурой, основанной на совокупности многоукладных национальных экономик. Ключевым индикатором экономического развития, безусловно, играет динамика уровня ВВП по ППС</w:t>
      </w:r>
      <w:r w:rsidR="00E82218">
        <w:rPr>
          <w:bCs/>
          <w:sz w:val="28"/>
          <w:szCs w:val="28"/>
        </w:rPr>
        <w:t>, а также ВВП на душу населения</w:t>
      </w:r>
    </w:p>
    <w:p w:rsidR="00941B90" w:rsidRDefault="00EA7F6E" w:rsidP="00941B90">
      <w:pPr>
        <w:keepNext/>
        <w:widowControl w:val="0"/>
        <w:spacing w:line="360" w:lineRule="auto"/>
        <w:ind w:firstLine="709"/>
      </w:pPr>
      <w:r w:rsidRPr="00EA7F6E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36576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7F6E" w:rsidRDefault="00941B90" w:rsidP="00AA305F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1</w:t>
      </w:r>
      <w:r w:rsidR="00DC3B99">
        <w:rPr>
          <w:noProof/>
        </w:rPr>
        <w:fldChar w:fldCharType="end"/>
      </w:r>
      <w:r>
        <w:t xml:space="preserve">               </w:t>
      </w:r>
    </w:p>
    <w:p w:rsidR="00941B90" w:rsidRPr="00941B90" w:rsidRDefault="00941B90" w:rsidP="00941B9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41B90">
        <w:rPr>
          <w:b/>
          <w:bCs/>
          <w:sz w:val="28"/>
          <w:szCs w:val="28"/>
        </w:rPr>
        <w:t>Прирост ВВП в ЕС. 2000 – 2013 г</w:t>
      </w:r>
      <w:proofErr w:type="gramStart"/>
      <w:r w:rsidRPr="00941B90">
        <w:rPr>
          <w:b/>
          <w:bCs/>
          <w:sz w:val="28"/>
          <w:szCs w:val="28"/>
        </w:rPr>
        <w:t>. (%)</w:t>
      </w:r>
      <w:proofErr w:type="gramEnd"/>
    </w:p>
    <w:p w:rsidR="00941B90" w:rsidRPr="00941B90" w:rsidRDefault="00941B90" w:rsidP="00941B90">
      <w:pPr>
        <w:rPr>
          <w:b/>
        </w:rPr>
      </w:pPr>
    </w:p>
    <w:p w:rsidR="00941B90" w:rsidRDefault="009C7B7C" w:rsidP="00941B90">
      <w:pPr>
        <w:keepNext/>
        <w:spacing w:line="360" w:lineRule="auto"/>
        <w:ind w:firstLine="709"/>
      </w:pPr>
      <w:r w:rsidRPr="009C7B7C">
        <w:rPr>
          <w:noProof/>
          <w:lang w:eastAsia="ru-RU"/>
        </w:rPr>
        <w:drawing>
          <wp:inline distT="0" distB="0" distL="0" distR="0">
            <wp:extent cx="5819775" cy="2981325"/>
            <wp:effectExtent l="19050" t="0" r="95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7B7C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2</w:t>
      </w:r>
      <w:r w:rsidR="00DC3B99">
        <w:rPr>
          <w:noProof/>
        </w:rPr>
        <w:fldChar w:fldCharType="end"/>
      </w:r>
    </w:p>
    <w:p w:rsidR="00941B90" w:rsidRPr="00941B90" w:rsidRDefault="00941B90" w:rsidP="00941B90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941B90">
        <w:rPr>
          <w:b/>
          <w:bCs/>
          <w:sz w:val="28"/>
          <w:szCs w:val="28"/>
        </w:rPr>
        <w:t>Численность населения ЕС  27</w:t>
      </w:r>
      <w:r w:rsidRPr="00941B90">
        <w:rPr>
          <w:b/>
          <w:sz w:val="28"/>
          <w:szCs w:val="28"/>
        </w:rPr>
        <w:t xml:space="preserve">  (человек)</w:t>
      </w:r>
    </w:p>
    <w:p w:rsidR="00941B90" w:rsidRPr="00941B90" w:rsidRDefault="00941B90" w:rsidP="00941B90"/>
    <w:p w:rsidR="001D11AF" w:rsidRDefault="001F13E0" w:rsidP="00AA305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На </w:t>
      </w:r>
      <w:r w:rsidR="00CE71DB">
        <w:rPr>
          <w:sz w:val="28"/>
          <w:szCs w:val="28"/>
        </w:rPr>
        <w:t>рисунке</w:t>
      </w:r>
      <w:r w:rsidR="00E82218">
        <w:rPr>
          <w:sz w:val="28"/>
          <w:szCs w:val="28"/>
        </w:rPr>
        <w:t xml:space="preserve"> 1 и в таблице</w:t>
      </w:r>
      <w:r w:rsidR="00637572">
        <w:rPr>
          <w:sz w:val="28"/>
          <w:szCs w:val="28"/>
        </w:rPr>
        <w:t xml:space="preserve"> №6</w:t>
      </w:r>
      <w:r w:rsidR="00E82218">
        <w:rPr>
          <w:sz w:val="28"/>
          <w:szCs w:val="28"/>
        </w:rPr>
        <w:t xml:space="preserve"> приложений</w:t>
      </w:r>
      <w:r w:rsidR="00637572">
        <w:rPr>
          <w:sz w:val="28"/>
          <w:szCs w:val="28"/>
        </w:rPr>
        <w:t xml:space="preserve">, </w:t>
      </w:r>
      <w:r w:rsidR="00E82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можем проследить динамику </w:t>
      </w:r>
      <w:r w:rsidR="004368A9">
        <w:rPr>
          <w:sz w:val="28"/>
          <w:szCs w:val="28"/>
        </w:rPr>
        <w:t xml:space="preserve">прироста </w:t>
      </w:r>
      <w:r>
        <w:rPr>
          <w:sz w:val="28"/>
          <w:szCs w:val="28"/>
        </w:rPr>
        <w:t xml:space="preserve">ВВП в целом по Европейскому союзу, по зоне евро, союзу 15 (т. е. до последнего расширения), а также динамику показателя в каждой стране в отдельности. </w:t>
      </w:r>
      <w:r w:rsidR="00EA7F6E">
        <w:rPr>
          <w:sz w:val="28"/>
          <w:szCs w:val="28"/>
        </w:rPr>
        <w:t>Интенсивность экономического роста за последнее 12 лет сильно колебалась, между уровнями в 4% ростом и -4,2% падением. Ключевыми событиями данного периода явились: пятое расширение ЕС и всемирный финансово – экономический кризис 2008 года. В начале 2000ых экономический ро</w:t>
      </w:r>
      <w:proofErr w:type="gramStart"/>
      <w:r w:rsidR="00EA7F6E">
        <w:rPr>
          <w:sz w:val="28"/>
          <w:szCs w:val="28"/>
        </w:rPr>
        <w:t>ст стр</w:t>
      </w:r>
      <w:proofErr w:type="gramEnd"/>
      <w:r w:rsidR="00EA7F6E">
        <w:rPr>
          <w:sz w:val="28"/>
          <w:szCs w:val="28"/>
        </w:rPr>
        <w:t xml:space="preserve">ан ЕС постепенно замедлялся, после бурного подъема конца 90ых. Позже, в 2003 году прирост ВВП увеличился, и еще большую интенсивность имел подъем в </w:t>
      </w:r>
      <w:r w:rsidR="001D11AF">
        <w:rPr>
          <w:sz w:val="28"/>
          <w:szCs w:val="28"/>
        </w:rPr>
        <w:t>2004 году, который в высокой степени явился следствием первого этапа п</w:t>
      </w:r>
      <w:r w:rsidR="00637572">
        <w:rPr>
          <w:sz w:val="28"/>
          <w:szCs w:val="28"/>
        </w:rPr>
        <w:t>ятого расширения ЕС. В таблице 6</w:t>
      </w:r>
      <w:r w:rsidR="001D11AF">
        <w:rPr>
          <w:sz w:val="28"/>
          <w:szCs w:val="28"/>
        </w:rPr>
        <w:t xml:space="preserve"> приложений, мы </w:t>
      </w:r>
      <w:proofErr w:type="gramStart"/>
      <w:r w:rsidR="001D11AF">
        <w:rPr>
          <w:sz w:val="28"/>
          <w:szCs w:val="28"/>
        </w:rPr>
        <w:t>видим</w:t>
      </w:r>
      <w:proofErr w:type="gramEnd"/>
      <w:r w:rsidR="001D11AF">
        <w:rPr>
          <w:sz w:val="28"/>
          <w:szCs w:val="28"/>
        </w:rPr>
        <w:t xml:space="preserve"> что именно присоединившиеся страны центральной и восточной Европы имели наибольший динамизм данного показателя. Рост экономик новых членов союза, обусловленный снижением протекционистских барьеров, способствовал мультипликативному росту экономик старых членов. Позже, в 2009 году экономика Европы вступила в фазу рецессии, как следствие углубляющегося мирового экономического </w:t>
      </w:r>
      <w:r w:rsidR="00884BC0">
        <w:rPr>
          <w:sz w:val="28"/>
          <w:szCs w:val="28"/>
        </w:rPr>
        <w:t>кризиса. Экономика ЕС сократилась на 4,3%, что явилось худшим показателем в истории интеграционного блока. Именно новые страны члены имели максимальное сокращение экономики</w:t>
      </w:r>
      <w:r w:rsidR="00B80B48">
        <w:rPr>
          <w:sz w:val="28"/>
          <w:szCs w:val="28"/>
        </w:rPr>
        <w:t>. Так в Латвии, Литве,</w:t>
      </w:r>
      <w:r w:rsidR="00884BC0">
        <w:rPr>
          <w:sz w:val="28"/>
          <w:szCs w:val="28"/>
        </w:rPr>
        <w:t xml:space="preserve"> Эстонии </w:t>
      </w:r>
      <w:r w:rsidR="00B80B48">
        <w:rPr>
          <w:sz w:val="28"/>
          <w:szCs w:val="28"/>
        </w:rPr>
        <w:t xml:space="preserve">и Словении, </w:t>
      </w:r>
      <w:r w:rsidR="00884BC0">
        <w:rPr>
          <w:sz w:val="28"/>
          <w:szCs w:val="28"/>
        </w:rPr>
        <w:t xml:space="preserve">падение ВВП составило </w:t>
      </w:r>
      <w:r w:rsidR="00884BC0" w:rsidRPr="00884BC0">
        <w:rPr>
          <w:rFonts w:eastAsia="Times New Roman" w:cs="Times New Roman"/>
          <w:sz w:val="28"/>
          <w:szCs w:val="28"/>
          <w:lang w:eastAsia="ru-RU"/>
        </w:rPr>
        <w:t>-17,7</w:t>
      </w:r>
      <w:r w:rsidR="00B80B48">
        <w:rPr>
          <w:rFonts w:eastAsia="Times New Roman" w:cs="Times New Roman"/>
          <w:sz w:val="28"/>
          <w:szCs w:val="28"/>
          <w:lang w:eastAsia="ru-RU"/>
        </w:rPr>
        <w:t>%</w:t>
      </w:r>
      <w:r w:rsidR="00884BC0" w:rsidRPr="00884BC0">
        <w:rPr>
          <w:rFonts w:eastAsia="Times New Roman" w:cs="Times New Roman"/>
          <w:sz w:val="28"/>
          <w:szCs w:val="28"/>
          <w:lang w:eastAsia="ru-RU"/>
        </w:rPr>
        <w:t>; -14,8</w:t>
      </w:r>
      <w:r w:rsidR="00B80B48">
        <w:rPr>
          <w:rFonts w:eastAsia="Times New Roman" w:cs="Times New Roman"/>
          <w:sz w:val="28"/>
          <w:szCs w:val="28"/>
          <w:lang w:eastAsia="ru-RU"/>
        </w:rPr>
        <w:t>;%</w:t>
      </w:r>
      <w:r w:rsidR="00884BC0" w:rsidRPr="00884BC0">
        <w:rPr>
          <w:rFonts w:eastAsia="Times New Roman" w:cs="Times New Roman"/>
          <w:sz w:val="28"/>
          <w:szCs w:val="28"/>
          <w:lang w:eastAsia="ru-RU"/>
        </w:rPr>
        <w:t xml:space="preserve"> -14,3</w:t>
      </w:r>
      <w:r w:rsidR="00B80B48">
        <w:rPr>
          <w:rFonts w:eastAsia="Times New Roman" w:cs="Times New Roman"/>
          <w:sz w:val="28"/>
          <w:szCs w:val="28"/>
          <w:lang w:eastAsia="ru-RU"/>
        </w:rPr>
        <w:t>% и -8%</w:t>
      </w:r>
      <w:r w:rsidR="00884BC0" w:rsidRPr="00884BC0">
        <w:rPr>
          <w:rFonts w:eastAsia="Times New Roman" w:cs="Times New Roman"/>
          <w:sz w:val="28"/>
          <w:szCs w:val="28"/>
          <w:lang w:eastAsia="ru-RU"/>
        </w:rPr>
        <w:t xml:space="preserve"> соответственно</w:t>
      </w:r>
      <w:r w:rsidR="00884BC0">
        <w:rPr>
          <w:rFonts w:eastAsia="Times New Roman" w:cs="Times New Roman"/>
          <w:sz w:val="28"/>
          <w:szCs w:val="28"/>
          <w:lang w:eastAsia="ru-RU"/>
        </w:rPr>
        <w:t>. Э</w:t>
      </w:r>
      <w:r w:rsidR="00884BC0" w:rsidRPr="00884BC0">
        <w:rPr>
          <w:rFonts w:eastAsia="Times New Roman" w:cs="Times New Roman"/>
          <w:sz w:val="28"/>
          <w:szCs w:val="28"/>
          <w:lang w:eastAsia="ru-RU"/>
        </w:rPr>
        <w:t>то объясняется тем, что их экономики являются</w:t>
      </w:r>
      <w:r w:rsidR="00B80B48">
        <w:rPr>
          <w:rFonts w:eastAsia="Times New Roman" w:cs="Times New Roman"/>
          <w:sz w:val="28"/>
          <w:szCs w:val="28"/>
          <w:lang w:eastAsia="ru-RU"/>
        </w:rPr>
        <w:t xml:space="preserve"> относительно слабыми и высоко зависимыми от экспорта, со слабым, еще</w:t>
      </w:r>
      <w:r w:rsidR="00884BC0">
        <w:rPr>
          <w:rFonts w:eastAsia="Times New Roman" w:cs="Times New Roman"/>
          <w:sz w:val="28"/>
          <w:szCs w:val="28"/>
          <w:lang w:eastAsia="ru-RU"/>
        </w:rPr>
        <w:t xml:space="preserve"> форми</w:t>
      </w:r>
      <w:r w:rsidR="00B80B48">
        <w:rPr>
          <w:rFonts w:eastAsia="Times New Roman" w:cs="Times New Roman"/>
          <w:sz w:val="28"/>
          <w:szCs w:val="28"/>
          <w:lang w:eastAsia="ru-RU"/>
        </w:rPr>
        <w:t>рующимся внутренним рынком. Так</w:t>
      </w:r>
      <w:r w:rsidR="00884BC0">
        <w:rPr>
          <w:rFonts w:eastAsia="Times New Roman" w:cs="Times New Roman"/>
          <w:sz w:val="28"/>
          <w:szCs w:val="28"/>
          <w:lang w:eastAsia="ru-RU"/>
        </w:rPr>
        <w:t xml:space="preserve">же высокое падение отмечалось в Финляндии </w:t>
      </w:r>
      <w:r w:rsidR="00B80B48">
        <w:rPr>
          <w:rFonts w:eastAsia="Times New Roman" w:cs="Times New Roman"/>
          <w:sz w:val="28"/>
          <w:szCs w:val="28"/>
          <w:lang w:eastAsia="ru-RU"/>
        </w:rPr>
        <w:t xml:space="preserve">на уровне </w:t>
      </w:r>
      <w:r w:rsidR="00B80B48" w:rsidRPr="00B80B48">
        <w:rPr>
          <w:rFonts w:eastAsia="Times New Roman" w:cs="Times New Roman"/>
          <w:sz w:val="28"/>
          <w:szCs w:val="28"/>
          <w:lang w:eastAsia="ru-RU"/>
        </w:rPr>
        <w:t>-8,4</w:t>
      </w:r>
      <w:r w:rsidR="00B80B48">
        <w:rPr>
          <w:rFonts w:eastAsia="Times New Roman" w:cs="Times New Roman"/>
          <w:sz w:val="28"/>
          <w:szCs w:val="28"/>
          <w:lang w:eastAsia="ru-RU"/>
        </w:rPr>
        <w:t xml:space="preserve">%. </w:t>
      </w:r>
    </w:p>
    <w:p w:rsidR="007D3B1D" w:rsidRDefault="00D015C4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015C4">
        <w:rPr>
          <w:rFonts w:cs="Times New Roman"/>
          <w:sz w:val="28"/>
          <w:szCs w:val="28"/>
        </w:rPr>
        <w:t>Доля ЕС в мировом валовом продукте (МВП) стабильно составляет примерно одну пятую часть. Темпы роста ВВП, сильны</w:t>
      </w:r>
      <w:r w:rsidR="007D3B1D">
        <w:rPr>
          <w:rFonts w:cs="Times New Roman"/>
          <w:sz w:val="28"/>
          <w:szCs w:val="28"/>
        </w:rPr>
        <w:t>е</w:t>
      </w:r>
      <w:r w:rsidRPr="00D015C4">
        <w:rPr>
          <w:rFonts w:cs="Times New Roman"/>
          <w:sz w:val="28"/>
          <w:szCs w:val="28"/>
        </w:rPr>
        <w:t xml:space="preserve"> в новых государствах-членах, в настоящее время упали по причине вялого роста </w:t>
      </w:r>
      <w:r w:rsidR="007D3B1D">
        <w:rPr>
          <w:rFonts w:cs="Times New Roman"/>
          <w:sz w:val="28"/>
          <w:szCs w:val="28"/>
        </w:rPr>
        <w:t xml:space="preserve">во Франции, Италии, Португалии и Испании, а также все нарастающего сокращения в Греческой экономике. </w:t>
      </w:r>
      <w:r w:rsidR="007D3B1D" w:rsidRPr="007D3B1D">
        <w:rPr>
          <w:rFonts w:cs="Times New Roman"/>
          <w:sz w:val="28"/>
          <w:szCs w:val="28"/>
        </w:rPr>
        <w:t xml:space="preserve">В </w:t>
      </w:r>
      <w:r w:rsidR="007D3B1D">
        <w:rPr>
          <w:rFonts w:cs="Times New Roman"/>
          <w:sz w:val="28"/>
          <w:szCs w:val="28"/>
        </w:rPr>
        <w:t xml:space="preserve">целом, </w:t>
      </w:r>
      <w:r w:rsidR="007D3B1D" w:rsidRPr="007D3B1D">
        <w:rPr>
          <w:rFonts w:cs="Times New Roman"/>
          <w:sz w:val="28"/>
          <w:szCs w:val="28"/>
        </w:rPr>
        <w:t xml:space="preserve"> влияние ЕС на увеличение валового мирового продукта </w:t>
      </w:r>
      <w:r w:rsidR="007D3B1D" w:rsidRPr="007D3B1D">
        <w:rPr>
          <w:rFonts w:cs="Times New Roman"/>
          <w:sz w:val="28"/>
          <w:szCs w:val="28"/>
        </w:rPr>
        <w:lastRenderedPageBreak/>
        <w:t>сокращается в связи с развитием экономических держав, таких как Китай, Индия, Россия и Бразилия. В среднесрочной и долгосрочной перспективе, ЕС будет искать пути для увеличения темпов роста В</w:t>
      </w:r>
      <w:proofErr w:type="gramStart"/>
      <w:r w:rsidR="007D3B1D" w:rsidRPr="007D3B1D">
        <w:rPr>
          <w:rFonts w:cs="Times New Roman"/>
          <w:sz w:val="28"/>
          <w:szCs w:val="28"/>
        </w:rPr>
        <w:t>ВП в стр</w:t>
      </w:r>
      <w:proofErr w:type="gramEnd"/>
      <w:r w:rsidR="007D3B1D" w:rsidRPr="007D3B1D">
        <w:rPr>
          <w:rFonts w:cs="Times New Roman"/>
          <w:sz w:val="28"/>
          <w:szCs w:val="28"/>
        </w:rPr>
        <w:t>анах Западной Европы, таких как Франция, Германия и Италия и стабилизации роста в новых странах Центральной и Восточной Европы для обеспечения устойчив</w:t>
      </w:r>
      <w:r w:rsidR="007D3B1D">
        <w:rPr>
          <w:rFonts w:cs="Times New Roman"/>
          <w:sz w:val="28"/>
          <w:szCs w:val="28"/>
        </w:rPr>
        <w:t xml:space="preserve">ого экономического процветания. </w:t>
      </w:r>
      <w:r w:rsidR="007D3B1D" w:rsidRPr="007D3B1D">
        <w:rPr>
          <w:rFonts w:cs="Times New Roman"/>
          <w:sz w:val="28"/>
          <w:szCs w:val="28"/>
        </w:rPr>
        <w:t>Столкнувшись с проблемами экономического развития в конце первого десятилетия нового тысячелетия, страны ЕС в 2010 году приняли стратегию Европа 2020, направленную на решение текущих экономических проблем в течение следующего десятилетия.</w:t>
      </w:r>
      <w:r w:rsidR="007D3B1D">
        <w:rPr>
          <w:rFonts w:cs="Times New Roman"/>
          <w:sz w:val="28"/>
          <w:szCs w:val="28"/>
        </w:rPr>
        <w:t xml:space="preserve"> </w:t>
      </w:r>
    </w:p>
    <w:p w:rsidR="00E82218" w:rsidRDefault="007D3B1D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3B1D">
        <w:rPr>
          <w:rFonts w:cs="Times New Roman"/>
          <w:sz w:val="28"/>
          <w:szCs w:val="28"/>
        </w:rPr>
        <w:t>Европейский союз имеет большие запасы угля, нефти и природного газа. В странах Европейского союза есть шесть производителей нефти</w:t>
      </w:r>
      <w:r>
        <w:rPr>
          <w:rFonts w:cs="Times New Roman"/>
          <w:sz w:val="28"/>
          <w:szCs w:val="28"/>
        </w:rPr>
        <w:t xml:space="preserve"> – Великобритания, </w:t>
      </w:r>
      <w:r w:rsidRPr="007D3B1D">
        <w:rPr>
          <w:rFonts w:cs="Times New Roman"/>
          <w:sz w:val="28"/>
          <w:szCs w:val="28"/>
        </w:rPr>
        <w:t>Дания, Германия, Италия, Румыния и Нидерланды, главным образом в нефтяных месторождениях Северного моря. Соединенное Королевство на сегодняшний день является крупнейшим производителем</w:t>
      </w:r>
      <w:r>
        <w:rPr>
          <w:rFonts w:cs="Times New Roman"/>
          <w:sz w:val="28"/>
          <w:szCs w:val="28"/>
        </w:rPr>
        <w:t xml:space="preserve"> в ЕС, уступая в европейском регионе, только Норвегии</w:t>
      </w:r>
      <w:r w:rsidRPr="007D3B1D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ЕС в целом производит  4</w:t>
      </w:r>
      <w:r w:rsidRPr="007D3B1D">
        <w:rPr>
          <w:rFonts w:cs="Times New Roman"/>
          <w:sz w:val="28"/>
          <w:szCs w:val="28"/>
        </w:rPr>
        <w:t xml:space="preserve">.424.000 </w:t>
      </w:r>
      <w:r>
        <w:rPr>
          <w:rFonts w:cs="Times New Roman"/>
          <w:sz w:val="28"/>
          <w:szCs w:val="28"/>
        </w:rPr>
        <w:t xml:space="preserve"> </w:t>
      </w:r>
      <w:r w:rsidRPr="007D3B1D">
        <w:rPr>
          <w:rFonts w:cs="Times New Roman"/>
          <w:sz w:val="28"/>
          <w:szCs w:val="28"/>
        </w:rPr>
        <w:t xml:space="preserve">баррелей </w:t>
      </w:r>
      <w:r>
        <w:rPr>
          <w:rFonts w:cs="Times New Roman"/>
          <w:sz w:val="28"/>
          <w:szCs w:val="28"/>
        </w:rPr>
        <w:t xml:space="preserve">нефти </w:t>
      </w:r>
      <w:r w:rsidRPr="007D3B1D">
        <w:rPr>
          <w:rFonts w:cs="Times New Roman"/>
          <w:sz w:val="28"/>
          <w:szCs w:val="28"/>
        </w:rPr>
        <w:t>в с</w:t>
      </w:r>
      <w:r>
        <w:rPr>
          <w:rFonts w:cs="Times New Roman"/>
          <w:sz w:val="28"/>
          <w:szCs w:val="28"/>
        </w:rPr>
        <w:t>утки. Однако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 w:rsidRPr="007D3B1D">
        <w:rPr>
          <w:rFonts w:cs="Times New Roman"/>
          <w:sz w:val="28"/>
          <w:szCs w:val="28"/>
        </w:rPr>
        <w:t xml:space="preserve"> он также является 2-ым по величине потребителем нефти, потребляющим гораздо больше</w:t>
      </w:r>
      <w:r>
        <w:rPr>
          <w:rFonts w:cs="Times New Roman"/>
          <w:sz w:val="28"/>
          <w:szCs w:val="28"/>
        </w:rPr>
        <w:t>, чем он может производить на 16</w:t>
      </w:r>
      <w:r w:rsidRPr="007D3B1D">
        <w:rPr>
          <w:rFonts w:cs="Times New Roman"/>
          <w:sz w:val="28"/>
          <w:szCs w:val="28"/>
        </w:rPr>
        <w:t>.590.000 баррелей в день.</w:t>
      </w:r>
      <w:r>
        <w:rPr>
          <w:rFonts w:cs="Times New Roman"/>
          <w:sz w:val="28"/>
          <w:szCs w:val="28"/>
        </w:rPr>
        <w:t xml:space="preserve"> Энергетическая система Европы является неоднородной, однако, в целом регион является лидером в развитии и внедрении альтернативных источников энергии и </w:t>
      </w:r>
      <w:proofErr w:type="spellStart"/>
      <w:r>
        <w:rPr>
          <w:rFonts w:cs="Times New Roman"/>
          <w:sz w:val="28"/>
          <w:szCs w:val="28"/>
        </w:rPr>
        <w:t>энергосберегательных</w:t>
      </w:r>
      <w:proofErr w:type="spellEnd"/>
      <w:r>
        <w:rPr>
          <w:rFonts w:cs="Times New Roman"/>
          <w:sz w:val="28"/>
          <w:szCs w:val="28"/>
        </w:rPr>
        <w:t xml:space="preserve"> технологий</w:t>
      </w:r>
      <w:r w:rsidR="00B56DED">
        <w:rPr>
          <w:rFonts w:cs="Times New Roman"/>
          <w:sz w:val="28"/>
          <w:szCs w:val="28"/>
        </w:rPr>
        <w:t xml:space="preserve">. Так в Исландии 97% потребности в электроэнергии обеспечивается за счет использования подземных термальных источников. В Норвегии, несмотря лидерство в регионе по добыче нефти, более 60% энергии генерируется </w:t>
      </w:r>
      <w:proofErr w:type="spellStart"/>
      <w:r w:rsidR="00B56DED">
        <w:rPr>
          <w:rFonts w:cs="Times New Roman"/>
          <w:sz w:val="28"/>
          <w:szCs w:val="28"/>
        </w:rPr>
        <w:t>гидроэклетростанциями</w:t>
      </w:r>
      <w:proofErr w:type="spellEnd"/>
      <w:r w:rsidR="00B56DED">
        <w:rPr>
          <w:rFonts w:cs="Times New Roman"/>
          <w:sz w:val="28"/>
          <w:szCs w:val="28"/>
        </w:rPr>
        <w:t xml:space="preserve">. Франция является передовой страной в развитии атомной энергетики, обеспечивающей более 75% потребности в электроэнергии. </w:t>
      </w:r>
      <w:r w:rsidR="0030245E">
        <w:rPr>
          <w:rFonts w:cs="Times New Roman"/>
          <w:sz w:val="28"/>
          <w:szCs w:val="28"/>
        </w:rPr>
        <w:t>Германия обеспечивает свои потребности в электроэнергии на 38% за счет нефти, 21,5% за счет природного газа (</w:t>
      </w:r>
      <w:proofErr w:type="spellStart"/>
      <w:r w:rsidR="0030245E">
        <w:rPr>
          <w:rFonts w:cs="Times New Roman"/>
          <w:sz w:val="28"/>
          <w:szCs w:val="28"/>
        </w:rPr>
        <w:t>премиущественно</w:t>
      </w:r>
      <w:proofErr w:type="spellEnd"/>
      <w:r w:rsidR="0030245E">
        <w:rPr>
          <w:rFonts w:cs="Times New Roman"/>
          <w:sz w:val="28"/>
          <w:szCs w:val="28"/>
        </w:rPr>
        <w:t xml:space="preserve"> импортируемого из России), на 19% за счет ядерной энергии, 17,5% за счет испол</w:t>
      </w:r>
      <w:r w:rsidR="00143F61">
        <w:rPr>
          <w:rFonts w:cs="Times New Roman"/>
          <w:sz w:val="28"/>
          <w:szCs w:val="28"/>
        </w:rPr>
        <w:t>ьзования каменного угля и около</w:t>
      </w:r>
      <w:r w:rsidR="0030245E">
        <w:rPr>
          <w:rFonts w:cs="Times New Roman"/>
          <w:sz w:val="28"/>
          <w:szCs w:val="28"/>
        </w:rPr>
        <w:t xml:space="preserve"> 4% приходится на гидроэлектростанции </w:t>
      </w:r>
      <w:r w:rsidR="0030245E">
        <w:rPr>
          <w:rFonts w:cs="Times New Roman"/>
          <w:sz w:val="28"/>
          <w:szCs w:val="28"/>
        </w:rPr>
        <w:lastRenderedPageBreak/>
        <w:t>и альтернативные источники энергии. В связи с этим, Германия является лидером по выбросу углеводорода в атмосферу в Европе</w:t>
      </w:r>
      <w:r w:rsidR="00143F61">
        <w:rPr>
          <w:rFonts w:cs="Times New Roman"/>
          <w:sz w:val="28"/>
          <w:szCs w:val="28"/>
        </w:rPr>
        <w:t>, что делает необходимым развитие технологий по очистке и переработке продуктов горения</w:t>
      </w:r>
      <w:r w:rsidR="0030245E">
        <w:rPr>
          <w:rFonts w:cs="Times New Roman"/>
          <w:sz w:val="28"/>
          <w:szCs w:val="28"/>
        </w:rPr>
        <w:t xml:space="preserve">.  </w:t>
      </w:r>
    </w:p>
    <w:p w:rsidR="00637572" w:rsidRPr="00941B90" w:rsidRDefault="00143F61" w:rsidP="00941B9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43F61">
        <w:rPr>
          <w:rFonts w:cs="Times New Roman"/>
          <w:sz w:val="28"/>
          <w:szCs w:val="28"/>
        </w:rPr>
        <w:t>Сельскохозяйственный сектор поддерживается субсидиями со стороны Европейского союза в рамках Единой сельскохозяйственной политики (ЕСП). Это в настоящее время составляет 40-50% от общих расходов ЕС, что гарантирует минимальные цены для фермеров в ЕС. Это критикуется как проявление протекционизма, препятствующее торговле, и наносящее ущерб развивающим</w:t>
      </w:r>
      <w:r>
        <w:rPr>
          <w:rFonts w:cs="Times New Roman"/>
          <w:sz w:val="28"/>
          <w:szCs w:val="28"/>
        </w:rPr>
        <w:t>ся странам.</w:t>
      </w:r>
      <w:r w:rsidRPr="00143F61">
        <w:rPr>
          <w:rFonts w:cs="Times New Roman"/>
          <w:sz w:val="28"/>
          <w:szCs w:val="28"/>
        </w:rPr>
        <w:t xml:space="preserve"> Одним из самых ярых противников является Великобритания, трет</w:t>
      </w:r>
      <w:r>
        <w:rPr>
          <w:rFonts w:cs="Times New Roman"/>
          <w:sz w:val="28"/>
          <w:szCs w:val="28"/>
        </w:rPr>
        <w:t>ья по величине экономика блока, неоднократно требующая значительных реформ ЕСП</w:t>
      </w:r>
      <w:r w:rsidRPr="00143F61">
        <w:rPr>
          <w:rFonts w:cs="Times New Roman"/>
          <w:sz w:val="28"/>
          <w:szCs w:val="28"/>
        </w:rPr>
        <w:t>. Франция, вторая по величине экономика блока, является наиболее ярым сторонником ЕСП</w:t>
      </w:r>
      <w:r>
        <w:rPr>
          <w:rFonts w:cs="Times New Roman"/>
          <w:sz w:val="28"/>
          <w:szCs w:val="28"/>
        </w:rPr>
        <w:t>.</w:t>
      </w:r>
    </w:p>
    <w:p w:rsidR="00637572" w:rsidRDefault="00637572" w:rsidP="00941B90">
      <w:pPr>
        <w:spacing w:line="360" w:lineRule="auto"/>
        <w:ind w:firstLine="709"/>
        <w:rPr>
          <w:rFonts w:cs="Times New Roman"/>
          <w:b/>
          <w:sz w:val="32"/>
          <w:szCs w:val="32"/>
        </w:rPr>
      </w:pPr>
    </w:p>
    <w:p w:rsidR="007232F0" w:rsidRPr="00E82218" w:rsidRDefault="00143F61" w:rsidP="00AA305F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E82218">
        <w:rPr>
          <w:rFonts w:cs="Times New Roman"/>
          <w:b/>
          <w:sz w:val="32"/>
          <w:szCs w:val="32"/>
        </w:rPr>
        <w:t>Анализ безработицы и инфляции.</w:t>
      </w:r>
    </w:p>
    <w:p w:rsidR="00516236" w:rsidRDefault="00B54E8F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Безработица является очень важным экономическим индикатором экономики, а так же и социальным.</w:t>
      </w:r>
      <w:r w:rsidR="00A372BE">
        <w:rPr>
          <w:rFonts w:cs="Times New Roman"/>
          <w:sz w:val="28"/>
          <w:szCs w:val="28"/>
        </w:rPr>
        <w:t xml:space="preserve"> </w:t>
      </w:r>
      <w:r w:rsidR="00A372BE" w:rsidRPr="00A372BE">
        <w:rPr>
          <w:sz w:val="28"/>
          <w:szCs w:val="28"/>
        </w:rPr>
        <w:t>Также</w:t>
      </w:r>
      <w:r w:rsidR="00A372BE">
        <w:rPr>
          <w:sz w:val="28"/>
          <w:szCs w:val="28"/>
        </w:rPr>
        <w:t xml:space="preserve"> </w:t>
      </w:r>
      <w:r w:rsidR="00A372BE">
        <w:rPr>
          <w:rFonts w:cs="Times New Roman"/>
          <w:sz w:val="28"/>
          <w:szCs w:val="28"/>
        </w:rPr>
        <w:t xml:space="preserve">экономисты выделяют такое понятие, как естественная безработица. Согласно данной концепции </w:t>
      </w:r>
      <w:r w:rsidR="00A372BE" w:rsidRPr="00A372BE">
        <w:rPr>
          <w:rFonts w:cs="Times New Roman"/>
          <w:sz w:val="28"/>
          <w:szCs w:val="28"/>
        </w:rPr>
        <w:t xml:space="preserve">для общеэкономического равновесия, сложившегося при определённой реальной заработной плате, существует определённая неполная занятость населения, которая является результатом недостатка информации, барьерами мобильности, демографических изменений и </w:t>
      </w:r>
      <w:r w:rsidR="00646CBA">
        <w:rPr>
          <w:rFonts w:cs="Times New Roman"/>
          <w:sz w:val="28"/>
          <w:szCs w:val="28"/>
        </w:rPr>
        <w:t>других следствий несовершенства</w:t>
      </w:r>
      <w:r w:rsidR="00A372BE" w:rsidRPr="00A372BE">
        <w:rPr>
          <w:rFonts w:cs="Times New Roman"/>
          <w:sz w:val="28"/>
          <w:szCs w:val="28"/>
        </w:rPr>
        <w:t xml:space="preserve"> рынка. По этим причинам невозможно понизить уровень безработицы до нуля, а лишь снизить его до метки, определяемой несоверше</w:t>
      </w:r>
      <w:r w:rsidR="00646CBA">
        <w:rPr>
          <w:rFonts w:cs="Times New Roman"/>
          <w:sz w:val="28"/>
          <w:szCs w:val="28"/>
        </w:rPr>
        <w:t>нства</w:t>
      </w:r>
      <w:r w:rsidR="00A372BE" w:rsidRPr="00A372BE">
        <w:rPr>
          <w:rFonts w:cs="Times New Roman"/>
          <w:sz w:val="28"/>
          <w:szCs w:val="28"/>
        </w:rPr>
        <w:t xml:space="preserve"> рынка. Таким образом, оказать влияние на уровень с такой безработицей в узких временных рамках невозможно. Поможет лишь медленное воздействие с помощью методов регуляторной или структурной политики.</w:t>
      </w:r>
      <w:r>
        <w:rPr>
          <w:rFonts w:cs="Times New Roman"/>
          <w:sz w:val="28"/>
          <w:szCs w:val="28"/>
        </w:rPr>
        <w:t xml:space="preserve"> </w:t>
      </w:r>
      <w:r w:rsidR="00516236" w:rsidRPr="00516236">
        <w:rPr>
          <w:rFonts w:cs="Times New Roman"/>
          <w:sz w:val="28"/>
          <w:szCs w:val="28"/>
        </w:rPr>
        <w:t xml:space="preserve">Согласно теории М. Фридмана естественная безработица специфична для каждой экономики в соответствии с </w:t>
      </w:r>
      <w:r w:rsidR="00516236" w:rsidRPr="00516236">
        <w:rPr>
          <w:rFonts w:cs="Times New Roman"/>
          <w:sz w:val="28"/>
          <w:szCs w:val="28"/>
        </w:rPr>
        <w:lastRenderedPageBreak/>
        <w:t>макроэкономическим равновесием, при котором ожидаемый уровень инфляции равен действительному её уровню.</w:t>
      </w:r>
    </w:p>
    <w:p w:rsidR="007232F0" w:rsidRDefault="00A663D8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безработицы серьезно варь</w:t>
      </w:r>
      <w:r w:rsidR="00491004">
        <w:rPr>
          <w:rFonts w:cs="Times New Roman"/>
          <w:sz w:val="28"/>
          <w:szCs w:val="28"/>
        </w:rPr>
        <w:t xml:space="preserve">ируется между странами членами. </w:t>
      </w:r>
      <w:r>
        <w:rPr>
          <w:rFonts w:cs="Times New Roman"/>
          <w:sz w:val="28"/>
          <w:szCs w:val="28"/>
        </w:rPr>
        <w:t>Наименьший уровень безработицы наблюдается в странах</w:t>
      </w:r>
      <w:r w:rsidR="00491004">
        <w:rPr>
          <w:rFonts w:cs="Times New Roman"/>
          <w:sz w:val="28"/>
          <w:szCs w:val="28"/>
        </w:rPr>
        <w:t xml:space="preserve"> Бенилюкса</w:t>
      </w:r>
      <w:r>
        <w:rPr>
          <w:rFonts w:cs="Times New Roman"/>
          <w:sz w:val="28"/>
          <w:szCs w:val="28"/>
        </w:rPr>
        <w:t xml:space="preserve"> и в Австрии, кроме того экономики этих стран явились наиболее устойчивыми к эк</w:t>
      </w:r>
      <w:r w:rsidR="00491004">
        <w:rPr>
          <w:rFonts w:cs="Times New Roman"/>
          <w:sz w:val="28"/>
          <w:szCs w:val="28"/>
        </w:rPr>
        <w:t xml:space="preserve">ономическому кризису 2008 года, потеряв наименьшее относительное число рабочих мест в экономике. Так самый низкий уровень безработицы в последние годы наблюдается в Нидерландах. Нидерланды, как и все вышеназванные </w:t>
      </w:r>
      <w:proofErr w:type="gramStart"/>
      <w:r w:rsidR="00491004">
        <w:rPr>
          <w:rFonts w:cs="Times New Roman"/>
          <w:sz w:val="28"/>
          <w:szCs w:val="28"/>
        </w:rPr>
        <w:t>государства</w:t>
      </w:r>
      <w:proofErr w:type="gramEnd"/>
      <w:r w:rsidR="00491004">
        <w:rPr>
          <w:rFonts w:cs="Times New Roman"/>
          <w:sz w:val="28"/>
          <w:szCs w:val="28"/>
        </w:rPr>
        <w:t xml:space="preserve"> имеют современную высокоразвитую постиндустриальную экономику. Несмотря на то, что экономики данных стран являются ориентированными на экспорт, в силу малых размеров этих государств, а поэтому и небольшим абсолютным объемом экспорта и его высокой конкурентоспособности, Нидерланды, Люксембург, Бельгия и Австрия смогли </w:t>
      </w:r>
      <w:r w:rsidR="0065745A">
        <w:rPr>
          <w:rFonts w:cs="Times New Roman"/>
          <w:sz w:val="28"/>
          <w:szCs w:val="28"/>
        </w:rPr>
        <w:t xml:space="preserve">сохранить объем своего экспорта на докризисных уровнях. </w:t>
      </w:r>
    </w:p>
    <w:p w:rsidR="00941B90" w:rsidRDefault="00A663D8" w:rsidP="00941B90">
      <w:pPr>
        <w:keepNext/>
        <w:spacing w:line="360" w:lineRule="auto"/>
        <w:ind w:firstLine="709"/>
        <w:jc w:val="center"/>
      </w:pPr>
      <w:r w:rsidRPr="00A663D8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294322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15ED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3</w:t>
      </w:r>
      <w:r w:rsidR="00DC3B99">
        <w:rPr>
          <w:noProof/>
        </w:rPr>
        <w:fldChar w:fldCharType="end"/>
      </w:r>
    </w:p>
    <w:p w:rsidR="00941B90" w:rsidRPr="00941B90" w:rsidRDefault="00941B90" w:rsidP="00941B90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41B90">
        <w:rPr>
          <w:rFonts w:cs="Times New Roman"/>
          <w:b/>
          <w:sz w:val="28"/>
          <w:szCs w:val="28"/>
        </w:rPr>
        <w:t>Уровень Безработицы в 2000 – 2011 г</w:t>
      </w:r>
      <w:proofErr w:type="gramStart"/>
      <w:r w:rsidRPr="00941B90">
        <w:rPr>
          <w:rFonts w:cs="Times New Roman"/>
          <w:b/>
          <w:sz w:val="28"/>
          <w:szCs w:val="28"/>
        </w:rPr>
        <w:t>. (%)</w:t>
      </w:r>
      <w:proofErr w:type="gramEnd"/>
    </w:p>
    <w:p w:rsidR="00941B90" w:rsidRPr="00941B90" w:rsidRDefault="00941B90" w:rsidP="00941B90"/>
    <w:p w:rsidR="00D01FF7" w:rsidRDefault="0065745A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Самый высокий рост безработицы отмечен в Испании, которая является пятой экономикой ЕС. Проблемы испанской экономики связаны с невысоким уровнем</w:t>
      </w:r>
      <w:r w:rsidR="00646CBA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национальной экономики и отставанием в развитии высокотехнологичных отраслей. </w:t>
      </w:r>
      <w:r w:rsidRPr="0065745A">
        <w:rPr>
          <w:sz w:val="28"/>
          <w:szCs w:val="28"/>
        </w:rPr>
        <w:t>В структуре экспорта доля высокотехнологичных отраслей в 2</w:t>
      </w:r>
      <w:r w:rsidR="00646CBA">
        <w:rPr>
          <w:sz w:val="28"/>
          <w:szCs w:val="28"/>
        </w:rPr>
        <w:t xml:space="preserve"> </w:t>
      </w:r>
      <w:r w:rsidRPr="0065745A">
        <w:rPr>
          <w:sz w:val="28"/>
          <w:szCs w:val="28"/>
        </w:rPr>
        <w:t>-</w:t>
      </w:r>
      <w:r w:rsidR="00646CBA">
        <w:rPr>
          <w:sz w:val="28"/>
          <w:szCs w:val="28"/>
        </w:rPr>
        <w:t xml:space="preserve"> </w:t>
      </w:r>
      <w:r w:rsidRPr="0065745A">
        <w:rPr>
          <w:sz w:val="28"/>
          <w:szCs w:val="28"/>
        </w:rPr>
        <w:t>3,5 раза ниже, чем у стран-лидеров ЕС</w:t>
      </w:r>
      <w:r>
        <w:rPr>
          <w:sz w:val="28"/>
          <w:szCs w:val="28"/>
        </w:rPr>
        <w:t xml:space="preserve">. </w:t>
      </w:r>
      <w:r w:rsidRPr="0065745A">
        <w:rPr>
          <w:sz w:val="28"/>
          <w:szCs w:val="28"/>
        </w:rPr>
        <w:t>Это является следствием того, что Испания расходует на НИОКР только 1,4 процента своего ВВП — против 2 процентов в среднем по ЕС и 2,8 процентов у США. Около половины этих показателей обеспечивает госсектор, включая университеты, в то время как в странах-лидерах эти расходы взял на себя частный сектор.</w:t>
      </w:r>
      <w:r>
        <w:rPr>
          <w:sz w:val="28"/>
          <w:szCs w:val="28"/>
        </w:rPr>
        <w:t xml:space="preserve"> </w:t>
      </w:r>
      <w:r w:rsidRPr="0065745A">
        <w:rPr>
          <w:sz w:val="28"/>
          <w:szCs w:val="28"/>
        </w:rPr>
        <w:t xml:space="preserve">Несмотря на то, что испанская система налоговых льгот для НИОКР является одной из самых щедрых в ОЭСР и практически единой для малых и крупных предприятий, эти возможности пока используются слабо. Причина заключается, прежде всего, в недостаточной координации мер поддержки инноваций на государственном уровне и согласованности </w:t>
      </w:r>
      <w:proofErr w:type="spellStart"/>
      <w:r w:rsidRPr="0065745A">
        <w:rPr>
          <w:sz w:val="28"/>
          <w:szCs w:val="28"/>
        </w:rPr>
        <w:t>госпроектов</w:t>
      </w:r>
      <w:proofErr w:type="spellEnd"/>
      <w:r w:rsidRPr="0065745A">
        <w:rPr>
          <w:sz w:val="28"/>
          <w:szCs w:val="28"/>
        </w:rPr>
        <w:t>. Также на это влияют и причины структурного и институционального характера — нехватка человеческого капитала и навыков высококлассного управления.</w:t>
      </w:r>
      <w:r w:rsidR="00A372BE">
        <w:rPr>
          <w:sz w:val="28"/>
          <w:szCs w:val="28"/>
        </w:rPr>
        <w:t xml:space="preserve"> </w:t>
      </w:r>
    </w:p>
    <w:p w:rsidR="00711A35" w:rsidRPr="00941B90" w:rsidRDefault="00A372BE" w:rsidP="00941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Инфляция</w:t>
      </w:r>
      <w:r w:rsidR="00516236">
        <w:rPr>
          <w:sz w:val="28"/>
          <w:szCs w:val="28"/>
        </w:rPr>
        <w:t xml:space="preserve">, так же как и безработица имеет отрицательный, дестабилизирующий эффект для экономики. Милтон Фридман говорил: </w:t>
      </w:r>
      <w:r w:rsidR="00516236" w:rsidRPr="00516236">
        <w:rPr>
          <w:sz w:val="28"/>
          <w:szCs w:val="28"/>
        </w:rPr>
        <w:t>«</w:t>
      </w:r>
      <w:r w:rsidR="00516236" w:rsidRPr="00646CBA">
        <w:rPr>
          <w:i/>
          <w:sz w:val="28"/>
          <w:szCs w:val="28"/>
        </w:rPr>
        <w:t>Инфляция — одна из форм налогообложения, не нуждающаяся в законодательном одобрении</w:t>
      </w:r>
      <w:r w:rsidR="00516236">
        <w:rPr>
          <w:sz w:val="28"/>
          <w:szCs w:val="28"/>
        </w:rPr>
        <w:t>». Инфляция может проявляться, как следствие определенной монетарной политики. Однако она является разрушительной в долгосро</w:t>
      </w:r>
      <w:r w:rsidR="00DC625A">
        <w:rPr>
          <w:sz w:val="28"/>
          <w:szCs w:val="28"/>
        </w:rPr>
        <w:t>чном периоде, и одной из главных</w:t>
      </w:r>
      <w:r w:rsidR="00516236">
        <w:rPr>
          <w:sz w:val="28"/>
          <w:szCs w:val="28"/>
        </w:rPr>
        <w:t xml:space="preserve"> задач экономической политики является борьба с инфляцией. Процесс инфляции если рассматривать его с позиции статических ожиданий, по </w:t>
      </w:r>
      <w:proofErr w:type="spellStart"/>
      <w:r w:rsidR="00516236">
        <w:rPr>
          <w:sz w:val="28"/>
          <w:szCs w:val="28"/>
        </w:rPr>
        <w:t>Кейнсу</w:t>
      </w:r>
      <w:proofErr w:type="spellEnd"/>
      <w:r w:rsidR="00516236">
        <w:rPr>
          <w:sz w:val="28"/>
          <w:szCs w:val="28"/>
        </w:rPr>
        <w:t>, является по своей</w:t>
      </w:r>
      <w:r w:rsidR="005D0062">
        <w:rPr>
          <w:sz w:val="28"/>
          <w:szCs w:val="28"/>
        </w:rPr>
        <w:t xml:space="preserve"> сути бесконечным. Единственный способ прервать его – переломить ожидания граждан, убедить </w:t>
      </w:r>
      <w:proofErr w:type="gramStart"/>
      <w:r w:rsidR="005D0062">
        <w:rPr>
          <w:sz w:val="28"/>
          <w:szCs w:val="28"/>
        </w:rPr>
        <w:t>их</w:t>
      </w:r>
      <w:proofErr w:type="gramEnd"/>
      <w:r w:rsidR="005D0062">
        <w:rPr>
          <w:sz w:val="28"/>
          <w:szCs w:val="28"/>
        </w:rPr>
        <w:t xml:space="preserve"> что она не будет продолжаться. Многие экономисты считают невысокий стабильный уровень инфляции не превышающий 2-3%, фактором экономического роста. </w:t>
      </w:r>
      <w:r w:rsidR="005D0062" w:rsidRPr="005D0062">
        <w:rPr>
          <w:sz w:val="28"/>
          <w:szCs w:val="28"/>
        </w:rPr>
        <w:t xml:space="preserve">Наиболее распространенным методом </w:t>
      </w:r>
      <w:r w:rsidR="005D0062" w:rsidRPr="005D0062">
        <w:rPr>
          <w:sz w:val="28"/>
          <w:szCs w:val="28"/>
        </w:rPr>
        <w:lastRenderedPageBreak/>
        <w:t>измерения инфляции является индекс потребительских цен (</w:t>
      </w:r>
      <w:proofErr w:type="spellStart"/>
      <w:r w:rsidR="005D0062" w:rsidRPr="005D0062">
        <w:rPr>
          <w:sz w:val="28"/>
          <w:szCs w:val="28"/>
        </w:rPr>
        <w:t>Consumer</w:t>
      </w:r>
      <w:proofErr w:type="spellEnd"/>
      <w:r w:rsidR="005D0062" w:rsidRPr="005D0062">
        <w:rPr>
          <w:sz w:val="28"/>
          <w:szCs w:val="28"/>
        </w:rPr>
        <w:t xml:space="preserve"> </w:t>
      </w:r>
      <w:proofErr w:type="spellStart"/>
      <w:r w:rsidR="005D0062" w:rsidRPr="005D0062">
        <w:rPr>
          <w:sz w:val="28"/>
          <w:szCs w:val="28"/>
        </w:rPr>
        <w:t>Price</w:t>
      </w:r>
      <w:proofErr w:type="spellEnd"/>
      <w:r w:rsidR="005D0062" w:rsidRPr="005D0062">
        <w:rPr>
          <w:sz w:val="28"/>
          <w:szCs w:val="28"/>
        </w:rPr>
        <w:t xml:space="preserve"> </w:t>
      </w:r>
      <w:proofErr w:type="spellStart"/>
      <w:r w:rsidR="005D0062" w:rsidRPr="005D0062">
        <w:rPr>
          <w:sz w:val="28"/>
          <w:szCs w:val="28"/>
        </w:rPr>
        <w:t>Index</w:t>
      </w:r>
      <w:proofErr w:type="spellEnd"/>
      <w:r w:rsidR="005D0062" w:rsidRPr="005D0062">
        <w:rPr>
          <w:sz w:val="28"/>
          <w:szCs w:val="28"/>
        </w:rPr>
        <w:t xml:space="preserve">, CPI), который рассчитывается по отношению к базовому периоду. </w:t>
      </w:r>
      <w:r w:rsidR="005D0062">
        <w:rPr>
          <w:sz w:val="28"/>
          <w:szCs w:val="28"/>
        </w:rPr>
        <w:t xml:space="preserve">В странах ЕС  инфляция имеет различную динамику. </w:t>
      </w:r>
      <w:proofErr w:type="gramStart"/>
      <w:r w:rsidR="005D0062">
        <w:rPr>
          <w:sz w:val="28"/>
          <w:szCs w:val="28"/>
        </w:rPr>
        <w:t xml:space="preserve">Среднее значение </w:t>
      </w:r>
      <w:proofErr w:type="spellStart"/>
      <w:r w:rsidR="005D0062">
        <w:rPr>
          <w:sz w:val="28"/>
          <w:szCs w:val="28"/>
        </w:rPr>
        <w:t>индеска</w:t>
      </w:r>
      <w:proofErr w:type="spellEnd"/>
      <w:r w:rsidR="005D0062">
        <w:rPr>
          <w:sz w:val="28"/>
          <w:szCs w:val="28"/>
        </w:rPr>
        <w:t xml:space="preserve"> потребительских цен имело значительные колебания в последние</w:t>
      </w:r>
      <w:r w:rsidR="00DC625A">
        <w:rPr>
          <w:sz w:val="28"/>
          <w:szCs w:val="28"/>
        </w:rPr>
        <w:t xml:space="preserve"> 12 лет</w:t>
      </w:r>
      <w:r w:rsidR="00711A35">
        <w:rPr>
          <w:sz w:val="28"/>
          <w:szCs w:val="28"/>
        </w:rPr>
        <w:t>, так</w:t>
      </w:r>
      <w:r w:rsidR="005D0062">
        <w:rPr>
          <w:sz w:val="28"/>
          <w:szCs w:val="28"/>
        </w:rPr>
        <w:t xml:space="preserve">  на конец 2011 </w:t>
      </w:r>
      <w:r w:rsidR="00711A35">
        <w:rPr>
          <w:sz w:val="28"/>
          <w:szCs w:val="28"/>
        </w:rPr>
        <w:t xml:space="preserve">года, </w:t>
      </w:r>
      <w:r w:rsidR="005D0062">
        <w:rPr>
          <w:sz w:val="28"/>
          <w:szCs w:val="28"/>
        </w:rPr>
        <w:t xml:space="preserve">по всему блоку </w:t>
      </w:r>
      <w:r w:rsidR="005D0062" w:rsidRPr="005D0062">
        <w:rPr>
          <w:sz w:val="28"/>
          <w:szCs w:val="28"/>
        </w:rPr>
        <w:t>CPI</w:t>
      </w:r>
      <w:r w:rsidR="005D0062">
        <w:rPr>
          <w:sz w:val="28"/>
          <w:szCs w:val="28"/>
        </w:rPr>
        <w:t xml:space="preserve"> составил 1,5%, с прогнозом на уровне 1,8% в 2012 и 2013 годах.</w:t>
      </w:r>
      <w:proofErr w:type="gramEnd"/>
      <w:r w:rsidR="005D0062">
        <w:rPr>
          <w:sz w:val="28"/>
          <w:szCs w:val="28"/>
        </w:rPr>
        <w:t xml:space="preserve"> Наиболее устойчивым и невысоким  </w:t>
      </w:r>
      <w:r w:rsidR="005D0062" w:rsidRPr="005D0062">
        <w:rPr>
          <w:sz w:val="28"/>
          <w:szCs w:val="28"/>
        </w:rPr>
        <w:t>CPI</w:t>
      </w:r>
      <w:r w:rsidR="005D0062">
        <w:rPr>
          <w:sz w:val="28"/>
          <w:szCs w:val="28"/>
        </w:rPr>
        <w:t xml:space="preserve"> </w:t>
      </w:r>
      <w:r w:rsidR="00077530">
        <w:rPr>
          <w:sz w:val="28"/>
          <w:szCs w:val="28"/>
        </w:rPr>
        <w:t xml:space="preserve">был в Германии. </w:t>
      </w:r>
    </w:p>
    <w:p w:rsidR="00941B90" w:rsidRDefault="00A372BE" w:rsidP="00941B90">
      <w:pPr>
        <w:keepNext/>
        <w:spacing w:line="360" w:lineRule="auto"/>
        <w:ind w:firstLine="709"/>
        <w:jc w:val="center"/>
      </w:pPr>
      <w:r w:rsidRPr="00A372BE">
        <w:rPr>
          <w:noProof/>
          <w:sz w:val="28"/>
          <w:szCs w:val="28"/>
          <w:lang w:eastAsia="ru-RU"/>
        </w:rPr>
        <w:drawing>
          <wp:inline distT="0" distB="0" distL="0" distR="0">
            <wp:extent cx="5057775" cy="28670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15ED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4</w:t>
      </w:r>
      <w:r w:rsidR="00DC3B99">
        <w:rPr>
          <w:noProof/>
        </w:rPr>
        <w:fldChar w:fldCharType="end"/>
      </w:r>
    </w:p>
    <w:p w:rsidR="00711A35" w:rsidRDefault="00941B90" w:rsidP="00941B90">
      <w:pPr>
        <w:spacing w:line="360" w:lineRule="auto"/>
        <w:ind w:firstLine="709"/>
        <w:jc w:val="center"/>
        <w:rPr>
          <w:sz w:val="28"/>
          <w:szCs w:val="28"/>
        </w:rPr>
      </w:pPr>
      <w:r w:rsidRPr="0054352B">
        <w:rPr>
          <w:b/>
          <w:sz w:val="28"/>
          <w:szCs w:val="28"/>
        </w:rPr>
        <w:t>Индекс потребительских цен 2000 – 2013 г.</w:t>
      </w:r>
    </w:p>
    <w:p w:rsidR="00941B90" w:rsidRDefault="00941B90" w:rsidP="00941B90">
      <w:pPr>
        <w:spacing w:line="360" w:lineRule="auto"/>
        <w:ind w:firstLine="709"/>
        <w:jc w:val="center"/>
        <w:rPr>
          <w:sz w:val="28"/>
          <w:szCs w:val="28"/>
        </w:rPr>
      </w:pPr>
    </w:p>
    <w:p w:rsidR="00A372BE" w:rsidRPr="00941B90" w:rsidRDefault="0053578C" w:rsidP="00AA305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41B90">
        <w:rPr>
          <w:b/>
          <w:sz w:val="32"/>
          <w:szCs w:val="32"/>
        </w:rPr>
        <w:t xml:space="preserve">Поиски </w:t>
      </w:r>
      <w:proofErr w:type="spellStart"/>
      <w:r w:rsidRPr="00941B90">
        <w:rPr>
          <w:b/>
          <w:sz w:val="32"/>
          <w:szCs w:val="32"/>
        </w:rPr>
        <w:t>потверждения</w:t>
      </w:r>
      <w:proofErr w:type="spellEnd"/>
      <w:r w:rsidRPr="00941B90">
        <w:rPr>
          <w:b/>
          <w:sz w:val="32"/>
          <w:szCs w:val="32"/>
        </w:rPr>
        <w:t xml:space="preserve"> кривой Филипса.</w:t>
      </w:r>
    </w:p>
    <w:p w:rsidR="004173C9" w:rsidRPr="004173C9" w:rsidRDefault="004173C9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1958 г. профессор Лондонской школы экономики А. </w:t>
      </w:r>
      <w:proofErr w:type="spellStart"/>
      <w:r>
        <w:rPr>
          <w:sz w:val="28"/>
          <w:szCs w:val="28"/>
        </w:rPr>
        <w:t>Филлипс</w:t>
      </w:r>
      <w:proofErr w:type="spellEnd"/>
      <w:r>
        <w:rPr>
          <w:sz w:val="28"/>
          <w:szCs w:val="28"/>
        </w:rPr>
        <w:t xml:space="preserve"> опубликовал результаты своих исследований взаимозависимости между уровнем безработицы и изменением денежной ставки зарплаты в Великобритании в период с 1861 по 1957г. Для первых 52 лет (1861-1913) эта зависимость </w:t>
      </w:r>
      <w:proofErr w:type="spellStart"/>
      <w:r>
        <w:rPr>
          <w:sz w:val="28"/>
          <w:szCs w:val="28"/>
        </w:rPr>
        <w:t>аппроксимировалсь</w:t>
      </w:r>
      <w:proofErr w:type="spellEnd"/>
      <w:r>
        <w:rPr>
          <w:sz w:val="28"/>
          <w:szCs w:val="28"/>
        </w:rPr>
        <w:t xml:space="preserve"> уравнением:</w:t>
      </w:r>
    </w:p>
    <w:p w:rsidR="00F82929" w:rsidRDefault="004173C9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W= -0.9+9.638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-1.394</m:t>
              </m:r>
            </m:sup>
          </m:sSup>
        </m:oMath>
      </m:oMathPara>
    </w:p>
    <w:p w:rsidR="00CE6A23" w:rsidRDefault="004173C9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lastRenderedPageBreak/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W </m:t>
        </m:r>
      </m:oMath>
      <w:r w:rsidRPr="004173C9">
        <w:rPr>
          <w:rFonts w:eastAsiaTheme="minorEastAsia" w:cs="Times New Roman"/>
          <w:sz w:val="28"/>
          <w:szCs w:val="28"/>
        </w:rPr>
        <w:t xml:space="preserve">-  </w:t>
      </w:r>
      <w:r>
        <w:rPr>
          <w:rFonts w:eastAsiaTheme="minorEastAsia" w:cs="Times New Roman"/>
          <w:sz w:val="28"/>
          <w:szCs w:val="28"/>
        </w:rPr>
        <w:t xml:space="preserve">годовой темп прироста ставки заработной платы в %; </w:t>
      </w:r>
      <w:r>
        <w:rPr>
          <w:rFonts w:eastAsiaTheme="minorEastAsia" w:cs="Times New Roman"/>
          <w:sz w:val="28"/>
          <w:szCs w:val="28"/>
          <w:lang w:val="en-US"/>
        </w:rPr>
        <w:t>u</w:t>
      </w:r>
      <w:r w:rsidRPr="004173C9">
        <w:rPr>
          <w:rFonts w:eastAsiaTheme="minorEastAsia" w:cs="Times New Roman"/>
          <w:sz w:val="28"/>
          <w:szCs w:val="28"/>
        </w:rPr>
        <w:t xml:space="preserve"> – </w:t>
      </w:r>
      <w:r>
        <w:rPr>
          <w:rFonts w:eastAsiaTheme="minorEastAsia" w:cs="Times New Roman"/>
          <w:sz w:val="28"/>
          <w:szCs w:val="28"/>
        </w:rPr>
        <w:t xml:space="preserve">общий уровень безработицы. Ее </w:t>
      </w:r>
      <w:r w:rsidR="00CE71DB">
        <w:rPr>
          <w:rFonts w:eastAsiaTheme="minorEastAsia" w:cs="Times New Roman"/>
          <w:sz w:val="28"/>
          <w:szCs w:val="28"/>
        </w:rPr>
        <w:t>рисунок</w:t>
      </w:r>
      <w:r>
        <w:rPr>
          <w:rFonts w:eastAsiaTheme="minorEastAsia" w:cs="Times New Roman"/>
          <w:sz w:val="28"/>
          <w:szCs w:val="28"/>
        </w:rPr>
        <w:t xml:space="preserve"> получил название </w:t>
      </w:r>
      <w:r w:rsidRPr="004173C9">
        <w:rPr>
          <w:rFonts w:eastAsiaTheme="minorEastAsia" w:cs="Times New Roman"/>
          <w:i/>
          <w:sz w:val="28"/>
          <w:szCs w:val="28"/>
        </w:rPr>
        <w:t xml:space="preserve">кривой </w:t>
      </w:r>
      <w:proofErr w:type="spellStart"/>
      <w:r w:rsidRPr="004173C9">
        <w:rPr>
          <w:rFonts w:eastAsiaTheme="minorEastAsia" w:cs="Times New Roman"/>
          <w:i/>
          <w:sz w:val="28"/>
          <w:szCs w:val="28"/>
        </w:rPr>
        <w:t>Филлипса</w:t>
      </w:r>
      <w:proofErr w:type="spellEnd"/>
      <w:r>
        <w:rPr>
          <w:rFonts w:eastAsiaTheme="minorEastAsia" w:cs="Times New Roman"/>
          <w:sz w:val="28"/>
          <w:szCs w:val="28"/>
        </w:rPr>
        <w:t>.</w:t>
      </w:r>
      <w:r w:rsidR="005C0A42">
        <w:rPr>
          <w:rFonts w:eastAsiaTheme="minorEastAsia" w:cs="Times New Roman"/>
          <w:sz w:val="28"/>
          <w:szCs w:val="28"/>
        </w:rPr>
        <w:t xml:space="preserve"> </w:t>
      </w:r>
    </w:p>
    <w:p w:rsidR="004515ED" w:rsidRDefault="00CE6A23" w:rsidP="00AA305F">
      <w:pPr>
        <w:spacing w:line="360" w:lineRule="auto"/>
        <w:ind w:firstLine="709"/>
        <w:jc w:val="center"/>
        <w:rPr>
          <w:rFonts w:eastAsiaTheme="minorEastAsia" w:cs="Times New Roman"/>
          <w:sz w:val="28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1990725"/>
            <wp:effectExtent l="19050" t="0" r="9525" b="0"/>
            <wp:docPr id="8" name="Рисунок 6" descr="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C9" w:rsidRDefault="005C0A42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Позже зависимость между </w:t>
      </w:r>
      <w:r w:rsidR="00CE6A23">
        <w:rPr>
          <w:rFonts w:eastAsiaTheme="minorEastAsia" w:cs="Times New Roman"/>
          <w:sz w:val="28"/>
          <w:szCs w:val="28"/>
        </w:rPr>
        <w:t xml:space="preserve">безработицей и заработной платой была модифицирована в зависимость между инфляцией и безработицей, так как повышение заработной платы вызывает рост инфляции. Данное явление объясняется тем, что при безработице выше естественного уровня, на рынке существует избыток рабочей силы, и дополнительное привлечение рабочей силы можно осуществить без увеличения зарплаты. Если же экономика использует трудовые ресурсы по максимуму, то увеличение производства можно обеспечить, только за счет увеличения оплаты труда, в таком случае люди будут готовы работать больше времени.  </w:t>
      </w:r>
    </w:p>
    <w:p w:rsidR="000F129F" w:rsidRDefault="00CE6A23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Данный подход весьма логичен, однако, если мы проанализируем реальные статистические данные по европейскому </w:t>
      </w:r>
      <w:proofErr w:type="gramStart"/>
      <w:r>
        <w:rPr>
          <w:rFonts w:eastAsiaTheme="minorEastAsia" w:cs="Times New Roman"/>
          <w:sz w:val="28"/>
          <w:szCs w:val="28"/>
        </w:rPr>
        <w:t>союзу</w:t>
      </w:r>
      <w:proofErr w:type="gramEnd"/>
      <w:r>
        <w:rPr>
          <w:rFonts w:eastAsiaTheme="minorEastAsia" w:cs="Times New Roman"/>
          <w:sz w:val="28"/>
          <w:szCs w:val="28"/>
        </w:rPr>
        <w:t xml:space="preserve"> то прейдем к противоречивым результатам.</w:t>
      </w:r>
      <w:r w:rsidR="00B823BC">
        <w:rPr>
          <w:rFonts w:eastAsiaTheme="minorEastAsia" w:cs="Times New Roman"/>
          <w:sz w:val="28"/>
          <w:szCs w:val="28"/>
        </w:rPr>
        <w:t xml:space="preserve"> На </w:t>
      </w:r>
      <w:r w:rsidR="00CE71DB">
        <w:rPr>
          <w:rFonts w:eastAsiaTheme="minorEastAsia" w:cs="Times New Roman"/>
          <w:sz w:val="28"/>
          <w:szCs w:val="28"/>
        </w:rPr>
        <w:t>рисунке</w:t>
      </w:r>
      <w:r w:rsidR="00B823BC">
        <w:rPr>
          <w:rFonts w:eastAsiaTheme="minorEastAsia" w:cs="Times New Roman"/>
          <w:sz w:val="28"/>
          <w:szCs w:val="28"/>
        </w:rPr>
        <w:t xml:space="preserve"> 5</w:t>
      </w:r>
      <w:r w:rsidR="004515ED">
        <w:rPr>
          <w:rFonts w:eastAsiaTheme="minorEastAsia" w:cs="Times New Roman"/>
          <w:sz w:val="28"/>
          <w:szCs w:val="28"/>
        </w:rPr>
        <w:t xml:space="preserve"> мы можем наблюдать, что в период с 1997 по 2011 г. не существовало какого либо ярко выраженного тренда между безработицей и инфляцией в рамках Европейского союза 15 (до пятого расширения), а так же в отдельно взятых экономик</w:t>
      </w:r>
      <w:r w:rsidR="00711A35">
        <w:rPr>
          <w:rFonts w:eastAsiaTheme="minorEastAsia" w:cs="Times New Roman"/>
          <w:sz w:val="28"/>
          <w:szCs w:val="28"/>
        </w:rPr>
        <w:t>а</w:t>
      </w:r>
      <w:r w:rsidR="004515ED">
        <w:rPr>
          <w:rFonts w:eastAsiaTheme="minorEastAsia" w:cs="Times New Roman"/>
          <w:sz w:val="28"/>
          <w:szCs w:val="28"/>
        </w:rPr>
        <w:t>х</w:t>
      </w:r>
      <w:r w:rsidR="00711A35">
        <w:rPr>
          <w:rFonts w:eastAsiaTheme="minorEastAsia" w:cs="Times New Roman"/>
          <w:sz w:val="28"/>
          <w:szCs w:val="28"/>
        </w:rPr>
        <w:t>:</w:t>
      </w:r>
      <w:r w:rsidR="004515ED">
        <w:rPr>
          <w:rFonts w:eastAsiaTheme="minorEastAsia" w:cs="Times New Roman"/>
          <w:sz w:val="28"/>
          <w:szCs w:val="28"/>
        </w:rPr>
        <w:t xml:space="preserve"> Германии и Великобритании.  Коэффициент корреляции между безработицей и инфляцией в модели Фи</w:t>
      </w:r>
      <w:r w:rsidR="006F0DA3">
        <w:rPr>
          <w:rFonts w:eastAsiaTheme="minorEastAsia" w:cs="Times New Roman"/>
          <w:sz w:val="28"/>
          <w:szCs w:val="28"/>
        </w:rPr>
        <w:t>липса должен быть близок к -1. Однако в</w:t>
      </w:r>
      <w:r w:rsidR="004515ED">
        <w:rPr>
          <w:rFonts w:eastAsiaTheme="minorEastAsia" w:cs="Times New Roman"/>
          <w:sz w:val="28"/>
          <w:szCs w:val="28"/>
        </w:rPr>
        <w:t xml:space="preserve"> нашем случае коэффициенты корреляции составили</w:t>
      </w:r>
      <w:r w:rsidR="006F0DA3">
        <w:rPr>
          <w:rFonts w:eastAsiaTheme="minorEastAsia" w:cs="Times New Roman"/>
          <w:sz w:val="28"/>
          <w:szCs w:val="28"/>
        </w:rPr>
        <w:t>: 0,34; - 0,11 и 0,62 – для ЕС 15, Германии и Великобритании соответственно</w:t>
      </w:r>
      <w:r w:rsidR="00B823BC">
        <w:rPr>
          <w:rFonts w:eastAsiaTheme="minorEastAsia" w:cs="Times New Roman"/>
          <w:sz w:val="28"/>
          <w:szCs w:val="28"/>
        </w:rPr>
        <w:t xml:space="preserve"> </w:t>
      </w:r>
      <w:r w:rsidR="006F0DA3">
        <w:rPr>
          <w:rFonts w:eastAsiaTheme="minorEastAsia" w:cs="Times New Roman"/>
          <w:sz w:val="28"/>
          <w:szCs w:val="28"/>
        </w:rPr>
        <w:t xml:space="preserve">(см приложение).  </w:t>
      </w:r>
      <w:r w:rsidR="00B823BC">
        <w:rPr>
          <w:rFonts w:eastAsiaTheme="minorEastAsia" w:cs="Times New Roman"/>
          <w:sz w:val="28"/>
          <w:szCs w:val="28"/>
        </w:rPr>
        <w:t xml:space="preserve">Данный эффект «исчезновения кривой </w:t>
      </w:r>
      <w:proofErr w:type="spellStart"/>
      <w:r w:rsidR="00B823BC">
        <w:rPr>
          <w:rFonts w:eastAsiaTheme="minorEastAsia" w:cs="Times New Roman"/>
          <w:sz w:val="28"/>
          <w:szCs w:val="28"/>
        </w:rPr>
        <w:t>Филлипса</w:t>
      </w:r>
      <w:proofErr w:type="spellEnd"/>
      <w:r w:rsidR="00B823BC">
        <w:rPr>
          <w:rFonts w:eastAsiaTheme="minorEastAsia" w:cs="Times New Roman"/>
          <w:sz w:val="28"/>
          <w:szCs w:val="28"/>
        </w:rPr>
        <w:t xml:space="preserve">» стал проявляться с начала 70ых годов, когда </w:t>
      </w:r>
      <w:r w:rsidR="00B823BC">
        <w:rPr>
          <w:rFonts w:eastAsiaTheme="minorEastAsia" w:cs="Times New Roman"/>
          <w:sz w:val="28"/>
          <w:szCs w:val="28"/>
        </w:rPr>
        <w:lastRenderedPageBreak/>
        <w:t>возник, такой феномен, как стагфляция. Возникновение данных явлений связано, преимущественно с механизмом перестройки сети закрытых национальных экономик, в единую мировую экономику. И среди издержек трансформационного периода, который требует длительного периода, есть отклонение инфляции и безработицы от классического вида. После окончательной структурной перестройки мировой экономики в стабильную самодостаточную, устойчивую систему, произойдет возращение данных параметров к их классическому теоретическому виду, но уже при рассмотрении на новом, глобальном уровне.</w:t>
      </w:r>
    </w:p>
    <w:p w:rsidR="00941B90" w:rsidRDefault="000F129F" w:rsidP="00941B90">
      <w:pPr>
        <w:keepNext/>
        <w:spacing w:line="360" w:lineRule="auto"/>
        <w:ind w:firstLine="709"/>
      </w:pPr>
      <w:r w:rsidRPr="000F129F">
        <w:rPr>
          <w:rFonts w:eastAsiaTheme="minorEastAsia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267075"/>
            <wp:effectExtent l="19050" t="0" r="1905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15ED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5</w:t>
      </w:r>
      <w:r w:rsidR="00DC3B99">
        <w:rPr>
          <w:noProof/>
        </w:rPr>
        <w:fldChar w:fldCharType="end"/>
      </w:r>
    </w:p>
    <w:p w:rsidR="00941B90" w:rsidRPr="004515ED" w:rsidRDefault="00941B90" w:rsidP="00941B90">
      <w:pPr>
        <w:spacing w:line="360" w:lineRule="auto"/>
        <w:ind w:firstLine="709"/>
        <w:jc w:val="center"/>
        <w:rPr>
          <w:rFonts w:eastAsiaTheme="minorEastAsia" w:cs="Times New Roman"/>
          <w:b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 xml:space="preserve">Безработица – инфляция </w:t>
      </w:r>
      <w:r w:rsidRPr="004515ED">
        <w:rPr>
          <w:rFonts w:eastAsiaTheme="minorEastAsia" w:cs="Times New Roman"/>
          <w:b/>
          <w:sz w:val="28"/>
          <w:szCs w:val="28"/>
        </w:rPr>
        <w:t>1997-2011 г</w:t>
      </w:r>
      <w:proofErr w:type="gramStart"/>
      <w:r w:rsidRPr="004515ED">
        <w:rPr>
          <w:rFonts w:eastAsiaTheme="minorEastAsia" w:cs="Times New Roman"/>
          <w:b/>
          <w:sz w:val="28"/>
          <w:szCs w:val="28"/>
        </w:rPr>
        <w:t>.</w:t>
      </w:r>
      <w:r>
        <w:rPr>
          <w:rFonts w:eastAsiaTheme="minorEastAsia" w:cs="Times New Roman"/>
          <w:b/>
          <w:sz w:val="28"/>
          <w:szCs w:val="28"/>
        </w:rPr>
        <w:t xml:space="preserve"> (%)</w:t>
      </w:r>
      <w:proofErr w:type="gramEnd"/>
    </w:p>
    <w:p w:rsidR="00941B90" w:rsidRPr="00941B90" w:rsidRDefault="00941B90" w:rsidP="00941B90"/>
    <w:p w:rsidR="00E46422" w:rsidRPr="00B823BC" w:rsidRDefault="00E46422" w:rsidP="00AA305F">
      <w:pPr>
        <w:spacing w:line="360" w:lineRule="auto"/>
        <w:ind w:firstLine="709"/>
        <w:jc w:val="center"/>
        <w:rPr>
          <w:rFonts w:eastAsiaTheme="minorEastAsia" w:cs="Times New Roman"/>
          <w:b/>
          <w:sz w:val="32"/>
          <w:szCs w:val="32"/>
        </w:rPr>
      </w:pPr>
      <w:r w:rsidRPr="00B823BC">
        <w:rPr>
          <w:rFonts w:eastAsiaTheme="minorEastAsia" w:cs="Times New Roman"/>
          <w:b/>
          <w:sz w:val="32"/>
          <w:szCs w:val="32"/>
        </w:rPr>
        <w:t>Анализ сближения основных макроэкономических показателей в страна</w:t>
      </w:r>
      <w:r w:rsidR="001513A5" w:rsidRPr="00B823BC">
        <w:rPr>
          <w:rFonts w:eastAsiaTheme="minorEastAsia" w:cs="Times New Roman"/>
          <w:b/>
          <w:sz w:val="32"/>
          <w:szCs w:val="32"/>
        </w:rPr>
        <w:t>х членах ЕС. Интеграция экономи</w:t>
      </w:r>
      <w:r w:rsidR="00F4433B" w:rsidRPr="00B823BC">
        <w:rPr>
          <w:rFonts w:eastAsiaTheme="minorEastAsia" w:cs="Times New Roman"/>
          <w:b/>
          <w:sz w:val="32"/>
          <w:szCs w:val="32"/>
        </w:rPr>
        <w:t>к</w:t>
      </w:r>
      <w:r w:rsidRPr="00B823BC">
        <w:rPr>
          <w:rFonts w:eastAsiaTheme="minorEastAsia" w:cs="Times New Roman"/>
          <w:b/>
          <w:sz w:val="32"/>
          <w:szCs w:val="32"/>
        </w:rPr>
        <w:t xml:space="preserve"> ЦВ</w:t>
      </w:r>
      <w:r w:rsidR="00F4433B" w:rsidRPr="00B823BC">
        <w:rPr>
          <w:rFonts w:eastAsiaTheme="minorEastAsia" w:cs="Times New Roman"/>
          <w:b/>
          <w:sz w:val="32"/>
          <w:szCs w:val="32"/>
        </w:rPr>
        <w:t>Е.</w:t>
      </w:r>
    </w:p>
    <w:p w:rsidR="0076117C" w:rsidRDefault="00F4433B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Странами региона Центральной и Восточной Европы, входящими в Евросоюз являются: Эстония, Латвия, Литва, Польша, Чешская республика, Словакия, Венгрия, Словения, Болгария</w:t>
      </w:r>
      <w:r w:rsidR="00B823BC">
        <w:rPr>
          <w:rFonts w:eastAsiaTheme="minorEastAsia" w:cs="Times New Roman"/>
          <w:sz w:val="28"/>
          <w:szCs w:val="28"/>
        </w:rPr>
        <w:t xml:space="preserve">. </w:t>
      </w:r>
      <w:r w:rsidR="001513A5">
        <w:rPr>
          <w:rFonts w:eastAsiaTheme="minorEastAsia" w:cs="Times New Roman"/>
          <w:sz w:val="28"/>
          <w:szCs w:val="28"/>
        </w:rPr>
        <w:t xml:space="preserve">В рамках продолжающегося процесса </w:t>
      </w:r>
      <w:r w:rsidR="001513A5">
        <w:rPr>
          <w:rFonts w:eastAsiaTheme="minorEastAsia" w:cs="Times New Roman"/>
          <w:sz w:val="28"/>
          <w:szCs w:val="28"/>
        </w:rPr>
        <w:lastRenderedPageBreak/>
        <w:t>евро</w:t>
      </w:r>
      <w:r w:rsidR="00B823BC">
        <w:rPr>
          <w:rFonts w:eastAsiaTheme="minorEastAsia" w:cs="Times New Roman"/>
          <w:sz w:val="28"/>
          <w:szCs w:val="28"/>
        </w:rPr>
        <w:t>-</w:t>
      </w:r>
      <w:r w:rsidR="001513A5">
        <w:rPr>
          <w:rFonts w:eastAsiaTheme="minorEastAsia" w:cs="Times New Roman"/>
          <w:sz w:val="28"/>
          <w:szCs w:val="28"/>
        </w:rPr>
        <w:t xml:space="preserve">интеграции, важно проанализировать динамику </w:t>
      </w:r>
      <w:proofErr w:type="gramStart"/>
      <w:r w:rsidR="001513A5">
        <w:rPr>
          <w:rFonts w:eastAsiaTheme="minorEastAsia" w:cs="Times New Roman"/>
          <w:sz w:val="28"/>
          <w:szCs w:val="28"/>
        </w:rPr>
        <w:t>изменения дифференциации ключевых экономических показателей национальных</w:t>
      </w:r>
      <w:r w:rsidR="00B823BC">
        <w:rPr>
          <w:rFonts w:eastAsiaTheme="minorEastAsia" w:cs="Times New Roman"/>
          <w:sz w:val="28"/>
          <w:szCs w:val="28"/>
        </w:rPr>
        <w:t xml:space="preserve"> экономик стран ЕС</w:t>
      </w:r>
      <w:proofErr w:type="gramEnd"/>
      <w:r w:rsidR="00B823BC">
        <w:rPr>
          <w:rFonts w:eastAsiaTheme="minorEastAsia" w:cs="Times New Roman"/>
          <w:sz w:val="28"/>
          <w:szCs w:val="28"/>
        </w:rPr>
        <w:t xml:space="preserve"> между собой. </w:t>
      </w:r>
    </w:p>
    <w:p w:rsidR="007232F0" w:rsidRPr="00B823BC" w:rsidRDefault="00073921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В 2011 году самый высокий показатель ВВП на душу населения </w:t>
      </w:r>
      <w:proofErr w:type="gramStart"/>
      <w:r>
        <w:rPr>
          <w:rFonts w:eastAsiaTheme="minorEastAsia" w:cs="Times New Roman"/>
          <w:sz w:val="28"/>
          <w:szCs w:val="28"/>
        </w:rPr>
        <w:t>был</w:t>
      </w:r>
      <w:proofErr w:type="gramEnd"/>
      <w:r>
        <w:rPr>
          <w:rFonts w:eastAsiaTheme="minorEastAsia" w:cs="Times New Roman"/>
          <w:sz w:val="28"/>
          <w:szCs w:val="28"/>
        </w:rPr>
        <w:t xml:space="preserve"> достигнут в Люксембурге - </w:t>
      </w:r>
      <w:r w:rsidRPr="00073921">
        <w:rPr>
          <w:rFonts w:eastAsiaTheme="minorEastAsia" w:cs="Times New Roman"/>
          <w:sz w:val="28"/>
          <w:szCs w:val="28"/>
        </w:rPr>
        <w:t>82700</w:t>
      </w:r>
      <w:r>
        <w:rPr>
          <w:rFonts w:eastAsiaTheme="minorEastAsia" w:cs="Times New Roman"/>
          <w:sz w:val="28"/>
          <w:szCs w:val="28"/>
        </w:rPr>
        <w:t xml:space="preserve"> евро, а самый низкий в Болгарии – 5200. Данная диспропорция является очень существенной, однако показатели Люксембурга являются нехарактерно высокими для </w:t>
      </w:r>
      <w:r w:rsidR="00A5063A">
        <w:rPr>
          <w:rFonts w:eastAsiaTheme="minorEastAsia" w:cs="Times New Roman"/>
          <w:sz w:val="28"/>
          <w:szCs w:val="28"/>
        </w:rPr>
        <w:t>ведущих</w:t>
      </w:r>
      <w:r>
        <w:rPr>
          <w:rFonts w:eastAsiaTheme="minorEastAsia" w:cs="Times New Roman"/>
          <w:sz w:val="28"/>
          <w:szCs w:val="28"/>
        </w:rPr>
        <w:t xml:space="preserve"> экономик региона в целом.</w:t>
      </w:r>
      <w:r w:rsidR="00BE339C">
        <w:rPr>
          <w:rFonts w:eastAsiaTheme="minorEastAsia" w:cs="Times New Roman"/>
          <w:sz w:val="28"/>
          <w:szCs w:val="28"/>
        </w:rPr>
        <w:t xml:space="preserve"> Это связано с тем, что страна, по сути, является оффшорной зоной. В XX веке Люксембург</w:t>
      </w:r>
      <w:r w:rsidR="00BE339C" w:rsidRPr="00BE339C">
        <w:rPr>
          <w:rFonts w:eastAsiaTheme="minorEastAsia" w:cs="Times New Roman"/>
          <w:sz w:val="28"/>
          <w:szCs w:val="28"/>
        </w:rPr>
        <w:t xml:space="preserve"> стал одним из крупнейших мировых банковских центров</w:t>
      </w:r>
      <w:r w:rsidR="00BE339C">
        <w:rPr>
          <w:rFonts w:eastAsiaTheme="minorEastAsia" w:cs="Times New Roman"/>
          <w:sz w:val="28"/>
          <w:szCs w:val="28"/>
        </w:rPr>
        <w:t>,</w:t>
      </w:r>
      <w:r w:rsidR="00BE339C" w:rsidRPr="00BE339C">
        <w:rPr>
          <w:rFonts w:eastAsiaTheme="minorEastAsia" w:cs="Times New Roman"/>
          <w:sz w:val="28"/>
          <w:szCs w:val="28"/>
        </w:rPr>
        <w:t xml:space="preserve"> территории страны действует свыше 200 крупнейших банков мира</w:t>
      </w:r>
      <w:r w:rsidR="00BE339C">
        <w:rPr>
          <w:rFonts w:eastAsiaTheme="minorEastAsia" w:cs="Times New Roman"/>
          <w:sz w:val="28"/>
          <w:szCs w:val="28"/>
        </w:rPr>
        <w:t>,</w:t>
      </w:r>
      <w:r w:rsidR="00BE339C" w:rsidRPr="00BE339C">
        <w:rPr>
          <w:rFonts w:eastAsiaTheme="minorEastAsia" w:cs="Times New Roman"/>
          <w:sz w:val="28"/>
          <w:szCs w:val="28"/>
        </w:rPr>
        <w:t xml:space="preserve"> 1929 правительство поощряет регистрацию в стране крупных транснациональных компаний, чему в немалой степени способствует внутренний либеральный налоговый климат</w:t>
      </w:r>
      <w:r w:rsidR="00BE339C">
        <w:rPr>
          <w:rFonts w:eastAsiaTheme="minorEastAsia" w:cs="Times New Roman"/>
          <w:sz w:val="28"/>
          <w:szCs w:val="28"/>
        </w:rPr>
        <w:t xml:space="preserve">. </w:t>
      </w:r>
    </w:p>
    <w:p w:rsidR="00D06C79" w:rsidRDefault="00111327" w:rsidP="00AA305F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Стандартное отклонение характеризует, количественное изменение в абсолютном денежном выражении, далее необходимо проанализировать процесс изменения относительного показателя среднего квадратичного отклонения ВВП на душу населения, взвешенного по величине самого ВВП на душу населения. На </w:t>
      </w:r>
      <w:r w:rsidR="00CE71DB">
        <w:rPr>
          <w:rFonts w:eastAsiaTheme="minorEastAsia" w:cs="Times New Roman"/>
          <w:sz w:val="28"/>
          <w:szCs w:val="28"/>
        </w:rPr>
        <w:t>рисунке</w:t>
      </w:r>
      <w:r>
        <w:rPr>
          <w:rFonts w:eastAsiaTheme="minorEastAsia" w:cs="Times New Roman"/>
          <w:sz w:val="28"/>
          <w:szCs w:val="28"/>
        </w:rPr>
        <w:t xml:space="preserve"> 6 мы видим, что доля стандартного откло</w:t>
      </w:r>
      <w:r w:rsidR="00D06C79">
        <w:rPr>
          <w:rFonts w:eastAsiaTheme="minorEastAsia" w:cs="Times New Roman"/>
          <w:sz w:val="28"/>
          <w:szCs w:val="28"/>
        </w:rPr>
        <w:t xml:space="preserve">нения относительно величины ВВП, в рамках 27 стран членов ЕС остается стабильной, на уровне около 0,6. Другими словами, пропорциональное увеличение абсолютной дифференциации показателя происходит вследствие его  роста, то есть экономика ЕС сохраняет свою структуру в ценностном выражении, а рост диспропорций соответствует темпу роста ВВП. Из вышесказанного, можно было бы предположить, что рост ВВП во всех странах ЕС примерно </w:t>
      </w:r>
      <w:r w:rsidR="00A5063A">
        <w:rPr>
          <w:rFonts w:eastAsiaTheme="minorEastAsia" w:cs="Times New Roman"/>
          <w:sz w:val="28"/>
          <w:szCs w:val="28"/>
        </w:rPr>
        <w:t xml:space="preserve">одинаков, </w:t>
      </w:r>
      <w:r w:rsidR="00D06C79">
        <w:rPr>
          <w:rFonts w:eastAsiaTheme="minorEastAsia" w:cs="Times New Roman"/>
          <w:sz w:val="28"/>
          <w:szCs w:val="28"/>
        </w:rPr>
        <w:t xml:space="preserve">однако, это не так. Стабильность общего уровня в рамках Евросоюза, обеспечивается, за счет разнонаправленного движения между двумя составляющими его группами. </w:t>
      </w:r>
      <w:r w:rsidR="001B1334">
        <w:rPr>
          <w:rFonts w:eastAsiaTheme="minorEastAsia" w:cs="Times New Roman"/>
          <w:sz w:val="28"/>
          <w:szCs w:val="28"/>
        </w:rPr>
        <w:t xml:space="preserve">Данный показатель растет в 15 старых членах ЕС и одновременно уменьшается в 12 новых членах. </w:t>
      </w:r>
      <w:r w:rsidR="0076117C">
        <w:rPr>
          <w:rFonts w:eastAsiaTheme="minorEastAsia" w:cs="Times New Roman"/>
          <w:sz w:val="28"/>
          <w:szCs w:val="28"/>
        </w:rPr>
        <w:t xml:space="preserve"> </w:t>
      </w:r>
      <w:r w:rsidR="0076117C">
        <w:rPr>
          <w:rFonts w:eastAsiaTheme="minorEastAsia" w:cs="Times New Roman"/>
          <w:sz w:val="28"/>
          <w:szCs w:val="28"/>
        </w:rPr>
        <w:lastRenderedPageBreak/>
        <w:t xml:space="preserve">Аналогичные выводы мы можем сделать и на основании динамики более знакомого коэффициента </w:t>
      </w:r>
      <w:proofErr w:type="spellStart"/>
      <w:r w:rsidR="0076117C">
        <w:rPr>
          <w:rFonts w:eastAsiaTheme="minorEastAsia" w:cs="Times New Roman"/>
          <w:sz w:val="28"/>
          <w:szCs w:val="28"/>
        </w:rPr>
        <w:t>Джинни</w:t>
      </w:r>
      <w:proofErr w:type="spellEnd"/>
      <w:r w:rsidR="00711A35">
        <w:rPr>
          <w:rFonts w:eastAsiaTheme="minorEastAsia" w:cs="Times New Roman"/>
          <w:sz w:val="28"/>
          <w:szCs w:val="28"/>
        </w:rPr>
        <w:t xml:space="preserve"> (смотри приложения таблица 8).</w:t>
      </w:r>
    </w:p>
    <w:p w:rsidR="00941B90" w:rsidRDefault="00A5063A" w:rsidP="00941B90">
      <w:pPr>
        <w:keepNext/>
        <w:spacing w:line="360" w:lineRule="auto"/>
        <w:ind w:firstLine="709"/>
      </w:pPr>
      <w:r w:rsidRPr="00A5063A">
        <w:rPr>
          <w:noProof/>
          <w:lang w:eastAsia="ru-RU"/>
        </w:rPr>
        <w:drawing>
          <wp:inline distT="0" distB="0" distL="0" distR="0">
            <wp:extent cx="5019675" cy="2724150"/>
            <wp:effectExtent l="19050" t="0" r="9525" b="0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3FF3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6</w:t>
      </w:r>
      <w:r w:rsidR="00DC3B99">
        <w:rPr>
          <w:noProof/>
        </w:rPr>
        <w:fldChar w:fldCharType="end"/>
      </w:r>
    </w:p>
    <w:p w:rsidR="00941B90" w:rsidRPr="00A5063A" w:rsidRDefault="00941B90" w:rsidP="00941B90">
      <w:pPr>
        <w:spacing w:line="360" w:lineRule="auto"/>
        <w:ind w:firstLine="709"/>
        <w:jc w:val="center"/>
        <w:rPr>
          <w:rFonts w:eastAsiaTheme="minorEastAsia" w:cs="Times New Roman"/>
          <w:b/>
          <w:sz w:val="28"/>
          <w:szCs w:val="28"/>
        </w:rPr>
      </w:pPr>
      <w:r w:rsidRPr="00A5063A">
        <w:rPr>
          <w:rFonts w:eastAsiaTheme="minorEastAsia" w:cs="Times New Roman"/>
          <w:b/>
          <w:sz w:val="28"/>
          <w:szCs w:val="28"/>
        </w:rPr>
        <w:t>Динамика стандартного отклонения</w:t>
      </w:r>
      <w:r>
        <w:rPr>
          <w:rFonts w:eastAsiaTheme="minorEastAsia" w:cs="Times New Roman"/>
          <w:b/>
          <w:sz w:val="28"/>
          <w:szCs w:val="28"/>
        </w:rPr>
        <w:t>,</w:t>
      </w:r>
      <w:r w:rsidRPr="00A5063A">
        <w:rPr>
          <w:rFonts w:eastAsiaTheme="minorEastAsia" w:cs="Times New Roman"/>
          <w:b/>
          <w:sz w:val="28"/>
          <w:szCs w:val="28"/>
        </w:rPr>
        <w:t xml:space="preserve"> деленного на уровень ВВП на душу населения.</w:t>
      </w:r>
    </w:p>
    <w:p w:rsidR="00941B90" w:rsidRPr="00941B90" w:rsidRDefault="00941B90" w:rsidP="00941B90"/>
    <w:p w:rsidR="00941B90" w:rsidRDefault="00183FF3" w:rsidP="00941B90">
      <w:pPr>
        <w:keepNext/>
        <w:spacing w:line="360" w:lineRule="auto"/>
        <w:ind w:firstLine="709"/>
      </w:pPr>
      <w:r w:rsidRPr="00183FF3">
        <w:rPr>
          <w:noProof/>
          <w:lang w:eastAsia="ru-RU"/>
        </w:rPr>
        <w:drawing>
          <wp:inline distT="0" distB="0" distL="0" distR="0">
            <wp:extent cx="5238750" cy="2914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3FF3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7</w:t>
      </w:r>
      <w:r w:rsidR="00DC3B99">
        <w:rPr>
          <w:noProof/>
        </w:rPr>
        <w:fldChar w:fldCharType="end"/>
      </w:r>
    </w:p>
    <w:p w:rsidR="00711A35" w:rsidRPr="00941B90" w:rsidRDefault="00863BBC" w:rsidP="00941B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Дисперсия доходов на</w:t>
      </w:r>
      <w:r w:rsidR="00941B90">
        <w:rPr>
          <w:b/>
          <w:sz w:val="32"/>
          <w:szCs w:val="32"/>
        </w:rPr>
        <w:t xml:space="preserve"> душу населения</w:t>
      </w:r>
    </w:p>
    <w:p w:rsidR="00711A35" w:rsidRDefault="00711A35" w:rsidP="00AA305F"/>
    <w:p w:rsidR="00941B90" w:rsidRDefault="00711A35" w:rsidP="00941B90">
      <w:pPr>
        <w:keepNext/>
        <w:jc w:val="center"/>
      </w:pPr>
      <w:r w:rsidRPr="00711A35">
        <w:rPr>
          <w:noProof/>
          <w:lang w:eastAsia="ru-RU"/>
        </w:rPr>
        <w:lastRenderedPageBreak/>
        <w:drawing>
          <wp:inline distT="0" distB="0" distL="0" distR="0">
            <wp:extent cx="5095875" cy="3105150"/>
            <wp:effectExtent l="19050" t="0" r="9525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1A35" w:rsidRDefault="00941B90" w:rsidP="00941B90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8</w:t>
      </w:r>
      <w:r w:rsidR="00DC3B99">
        <w:rPr>
          <w:noProof/>
        </w:rPr>
        <w:fldChar w:fldCharType="end"/>
      </w:r>
    </w:p>
    <w:p w:rsidR="00941B90" w:rsidRDefault="00CE71DB" w:rsidP="00CE71DB">
      <w:pPr>
        <w:jc w:val="center"/>
        <w:rPr>
          <w:b/>
          <w:sz w:val="28"/>
          <w:szCs w:val="28"/>
        </w:rPr>
      </w:pPr>
      <w:r w:rsidRPr="00CE71DB">
        <w:rPr>
          <w:b/>
          <w:sz w:val="28"/>
          <w:szCs w:val="28"/>
        </w:rPr>
        <w:t>Кривая Лоренца</w:t>
      </w:r>
    </w:p>
    <w:p w:rsidR="00CE71DB" w:rsidRPr="00CE71DB" w:rsidRDefault="00CE71DB" w:rsidP="00CE71DB">
      <w:pPr>
        <w:jc w:val="center"/>
        <w:rPr>
          <w:b/>
          <w:sz w:val="28"/>
          <w:szCs w:val="28"/>
        </w:rPr>
      </w:pPr>
    </w:p>
    <w:p w:rsidR="004173C9" w:rsidRDefault="0076117C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B1334">
        <w:rPr>
          <w:rFonts w:cs="Times New Roman"/>
          <w:sz w:val="28"/>
          <w:szCs w:val="28"/>
        </w:rPr>
        <w:t xml:space="preserve">испропорции в странах ЦВЕ сокращаются быстрыми темпами, одновременно устремляясь к уровню западноевропейских государств, за счет высоких темпов роста ВВП. </w:t>
      </w:r>
      <w:r w:rsidR="00183FF3">
        <w:rPr>
          <w:rFonts w:cs="Times New Roman"/>
          <w:sz w:val="28"/>
          <w:szCs w:val="28"/>
        </w:rPr>
        <w:t xml:space="preserve"> Более отчетлива данная тенденция </w:t>
      </w:r>
      <w:proofErr w:type="gramStart"/>
      <w:r w:rsidR="00183FF3">
        <w:rPr>
          <w:rFonts w:cs="Times New Roman"/>
          <w:sz w:val="28"/>
          <w:szCs w:val="28"/>
        </w:rPr>
        <w:t>проявляется</w:t>
      </w:r>
      <w:proofErr w:type="gramEnd"/>
      <w:r w:rsidR="00183FF3">
        <w:rPr>
          <w:rFonts w:cs="Times New Roman"/>
          <w:sz w:val="28"/>
          <w:szCs w:val="28"/>
        </w:rPr>
        <w:t xml:space="preserve"> если проанализировать динамику коэффициента </w:t>
      </w:r>
      <w:proofErr w:type="spellStart"/>
      <w:r w:rsidR="00183FF3">
        <w:rPr>
          <w:rFonts w:cs="Times New Roman"/>
          <w:sz w:val="28"/>
          <w:szCs w:val="28"/>
        </w:rPr>
        <w:t>Джинни</w:t>
      </w:r>
      <w:proofErr w:type="spellEnd"/>
      <w:r w:rsidR="00183FF3">
        <w:rPr>
          <w:rFonts w:cs="Times New Roman"/>
          <w:sz w:val="28"/>
          <w:szCs w:val="28"/>
        </w:rPr>
        <w:t xml:space="preserve"> в р</w:t>
      </w:r>
      <w:r>
        <w:rPr>
          <w:rFonts w:cs="Times New Roman"/>
          <w:sz w:val="28"/>
          <w:szCs w:val="28"/>
        </w:rPr>
        <w:t xml:space="preserve">егионе в процентах, на </w:t>
      </w:r>
      <w:r w:rsidR="00CE71DB">
        <w:rPr>
          <w:rFonts w:cs="Times New Roman"/>
          <w:sz w:val="28"/>
          <w:szCs w:val="28"/>
        </w:rPr>
        <w:t>рисунке</w:t>
      </w:r>
      <w:r>
        <w:rPr>
          <w:rFonts w:cs="Times New Roman"/>
          <w:sz w:val="28"/>
          <w:szCs w:val="28"/>
        </w:rPr>
        <w:t xml:space="preserve"> 7</w:t>
      </w:r>
      <w:r w:rsidR="00183FF3">
        <w:rPr>
          <w:rFonts w:cs="Times New Roman"/>
          <w:sz w:val="28"/>
          <w:szCs w:val="28"/>
        </w:rPr>
        <w:t xml:space="preserve"> видно, что неравномерность доходов в новых странах членах снижается, а старых стран членов – наоборот увеличивается, и уже в 2010 году данный показатель стран ЕС 15, превзошло индекс ЕС 12.  </w:t>
      </w:r>
      <w:r w:rsidR="001B1334">
        <w:rPr>
          <w:rFonts w:cs="Times New Roman"/>
          <w:sz w:val="28"/>
          <w:szCs w:val="28"/>
        </w:rPr>
        <w:t>Проблемы Западноевропейских государств</w:t>
      </w:r>
      <w:r w:rsidR="00937C23">
        <w:rPr>
          <w:rFonts w:cs="Times New Roman"/>
          <w:sz w:val="28"/>
          <w:szCs w:val="28"/>
        </w:rPr>
        <w:t>,</w:t>
      </w:r>
      <w:r w:rsidR="001B1334">
        <w:rPr>
          <w:rFonts w:cs="Times New Roman"/>
          <w:sz w:val="28"/>
          <w:szCs w:val="28"/>
        </w:rPr>
        <w:t xml:space="preserve"> все бол</w:t>
      </w:r>
      <w:r w:rsidR="00937C23">
        <w:rPr>
          <w:rFonts w:cs="Times New Roman"/>
          <w:sz w:val="28"/>
          <w:szCs w:val="28"/>
        </w:rPr>
        <w:t>ее обостряются</w:t>
      </w:r>
      <w:r w:rsidR="001B1334">
        <w:rPr>
          <w:rFonts w:cs="Times New Roman"/>
          <w:sz w:val="28"/>
          <w:szCs w:val="28"/>
        </w:rPr>
        <w:t xml:space="preserve"> эконом</w:t>
      </w:r>
      <w:r w:rsidR="00937C23">
        <w:rPr>
          <w:rFonts w:cs="Times New Roman"/>
          <w:sz w:val="28"/>
          <w:szCs w:val="28"/>
        </w:rPr>
        <w:t>ической</w:t>
      </w:r>
      <w:r w:rsidR="001B1334">
        <w:rPr>
          <w:rFonts w:cs="Times New Roman"/>
          <w:sz w:val="28"/>
          <w:szCs w:val="28"/>
        </w:rPr>
        <w:t xml:space="preserve"> </w:t>
      </w:r>
      <w:r w:rsidR="00937C23">
        <w:rPr>
          <w:rFonts w:cs="Times New Roman"/>
          <w:sz w:val="28"/>
          <w:szCs w:val="28"/>
        </w:rPr>
        <w:t>не</w:t>
      </w:r>
      <w:r w:rsidR="001B1334">
        <w:rPr>
          <w:rFonts w:cs="Times New Roman"/>
          <w:sz w:val="28"/>
          <w:szCs w:val="28"/>
        </w:rPr>
        <w:t>эффективность</w:t>
      </w:r>
      <w:r w:rsidR="00937C23">
        <w:rPr>
          <w:rFonts w:cs="Times New Roman"/>
          <w:sz w:val="28"/>
          <w:szCs w:val="28"/>
        </w:rPr>
        <w:t>ю</w:t>
      </w:r>
      <w:r w:rsidR="001B1334">
        <w:rPr>
          <w:rFonts w:cs="Times New Roman"/>
          <w:sz w:val="28"/>
          <w:szCs w:val="28"/>
        </w:rPr>
        <w:t xml:space="preserve"> стран юга: </w:t>
      </w:r>
      <w:proofErr w:type="gramStart"/>
      <w:r w:rsidR="001B1334">
        <w:rPr>
          <w:rFonts w:cs="Times New Roman"/>
          <w:sz w:val="28"/>
          <w:szCs w:val="28"/>
        </w:rPr>
        <w:t>Греции, Италии, Испании, Португалии –</w:t>
      </w:r>
      <w:r w:rsidR="00937C23">
        <w:rPr>
          <w:rFonts w:cs="Times New Roman"/>
          <w:sz w:val="28"/>
          <w:szCs w:val="28"/>
        </w:rPr>
        <w:t xml:space="preserve"> несоответствующей </w:t>
      </w:r>
      <w:r w:rsidR="001B1334">
        <w:rPr>
          <w:rFonts w:cs="Times New Roman"/>
          <w:sz w:val="28"/>
          <w:szCs w:val="28"/>
        </w:rPr>
        <w:t xml:space="preserve">уровню стран лидеров – Германии  и </w:t>
      </w:r>
      <w:r w:rsidR="00937C23">
        <w:rPr>
          <w:rFonts w:cs="Times New Roman"/>
          <w:sz w:val="28"/>
          <w:szCs w:val="28"/>
        </w:rPr>
        <w:t>небольших государств севера - Дании, Швеции, а так же  Бельгии, Люксембурга, Нидерландов</w:t>
      </w:r>
      <w:r w:rsidR="001B1334">
        <w:rPr>
          <w:rFonts w:cs="Times New Roman"/>
          <w:sz w:val="28"/>
          <w:szCs w:val="28"/>
        </w:rPr>
        <w:t xml:space="preserve">. </w:t>
      </w:r>
      <w:proofErr w:type="gramEnd"/>
    </w:p>
    <w:p w:rsidR="00793708" w:rsidRDefault="00DC4179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C4179">
        <w:rPr>
          <w:rFonts w:cs="Times New Roman"/>
          <w:sz w:val="28"/>
          <w:szCs w:val="28"/>
        </w:rPr>
        <w:t xml:space="preserve">После 20 лет преобразований страны Центральной и Восточной Европы успешно интегрировались в мировую экономику. </w:t>
      </w:r>
      <w:proofErr w:type="gramStart"/>
      <w:r w:rsidRPr="00DC4179">
        <w:rPr>
          <w:rFonts w:cs="Times New Roman"/>
          <w:sz w:val="28"/>
          <w:szCs w:val="28"/>
        </w:rPr>
        <w:t>Развитие экономики стран Центральной и Восточной Европы в последние 20 лет показало пример исключительного успеха.</w:t>
      </w:r>
      <w:proofErr w:type="gramEnd"/>
      <w:r w:rsidRPr="00DC4179">
        <w:rPr>
          <w:rFonts w:cs="Times New Roman"/>
          <w:sz w:val="28"/>
          <w:szCs w:val="28"/>
        </w:rPr>
        <w:t xml:space="preserve"> Регион пережил трудный переходный период, </w:t>
      </w:r>
      <w:r w:rsidRPr="00DC4179">
        <w:rPr>
          <w:rFonts w:cs="Times New Roman"/>
          <w:sz w:val="28"/>
          <w:szCs w:val="28"/>
        </w:rPr>
        <w:lastRenderedPageBreak/>
        <w:t>результатом которого стало троекратное увеличение ВВП на душу населения. Основной движущей силой этого успеха стала полная интеграция стран ЦВЕ в глобальной среде.</w:t>
      </w:r>
    </w:p>
    <w:p w:rsidR="00793708" w:rsidRDefault="00DC4179" w:rsidP="00AA305F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DC4179">
        <w:rPr>
          <w:rFonts w:cs="Times New Roman"/>
          <w:sz w:val="28"/>
          <w:szCs w:val="28"/>
        </w:rPr>
        <w:t xml:space="preserve"> "</w:t>
      </w:r>
      <w:r w:rsidRPr="00DC4179">
        <w:rPr>
          <w:rFonts w:cs="Times New Roman"/>
          <w:i/>
          <w:sz w:val="28"/>
          <w:szCs w:val="28"/>
        </w:rPr>
        <w:t>Сегодня страны Центральной и Восточной Европы представляют собой открытую экономику свободного предпринимательства, где общий объем торговли составляет 70% ВВП. Завоеванная ценой больших усилий конкурентоспособность региона и возможность обеспечивать производственный потенциал являются ключевыми факторами, позволяющими преодолевать мировой экономический кризис</w:t>
      </w:r>
      <w:r w:rsidR="00793708">
        <w:rPr>
          <w:rFonts w:cs="Times New Roman"/>
          <w:sz w:val="28"/>
          <w:szCs w:val="28"/>
        </w:rPr>
        <w:t>"</w:t>
      </w:r>
    </w:p>
    <w:p w:rsidR="00DC4179" w:rsidRPr="00DC4179" w:rsidRDefault="00DC4179" w:rsidP="00AA305F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  <w:proofErr w:type="spellStart"/>
      <w:r w:rsidRPr="00DC4179">
        <w:rPr>
          <w:rFonts w:cs="Times New Roman"/>
          <w:sz w:val="28"/>
          <w:szCs w:val="28"/>
        </w:rPr>
        <w:t>Дебора</w:t>
      </w:r>
      <w:proofErr w:type="spellEnd"/>
      <w:r w:rsidRPr="00DC4179">
        <w:rPr>
          <w:rFonts w:cs="Times New Roman"/>
          <w:sz w:val="28"/>
          <w:szCs w:val="28"/>
        </w:rPr>
        <w:t xml:space="preserve"> </w:t>
      </w:r>
      <w:proofErr w:type="spellStart"/>
      <w:r w:rsidRPr="00DC4179">
        <w:rPr>
          <w:rFonts w:cs="Times New Roman"/>
          <w:sz w:val="28"/>
          <w:szCs w:val="28"/>
        </w:rPr>
        <w:t>Револтелла</w:t>
      </w:r>
      <w:proofErr w:type="spellEnd"/>
      <w:r w:rsidRPr="00DC4179">
        <w:rPr>
          <w:rFonts w:cs="Times New Roman"/>
          <w:sz w:val="28"/>
          <w:szCs w:val="28"/>
        </w:rPr>
        <w:t xml:space="preserve">, Руководитель Управления стратегического анализа ЦВЕ Группы </w:t>
      </w:r>
      <w:proofErr w:type="spellStart"/>
      <w:r w:rsidRPr="00DC4179">
        <w:rPr>
          <w:rFonts w:cs="Times New Roman"/>
          <w:sz w:val="28"/>
          <w:szCs w:val="28"/>
        </w:rPr>
        <w:t>ЮниКредит</w:t>
      </w:r>
      <w:proofErr w:type="spellEnd"/>
      <w:r w:rsidRPr="00DC4179">
        <w:rPr>
          <w:rFonts w:cs="Times New Roman"/>
          <w:sz w:val="28"/>
          <w:szCs w:val="28"/>
        </w:rPr>
        <w:t>.</w:t>
      </w:r>
    </w:p>
    <w:p w:rsidR="00DC4179" w:rsidRDefault="00DC4179" w:rsidP="00AA305F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83FF3">
        <w:rPr>
          <w:sz w:val="28"/>
          <w:szCs w:val="28"/>
          <w:lang w:val="ru-RU"/>
        </w:rPr>
        <w:t xml:space="preserve">Особенно результативной стала торговая интеграция в Европейский Союз. В ряде отраслей, таких как машиностроение, электротехническое и оптическое оборудование, автотранспортное производство, текстильная и резиновая промышленность, страны ЦВЕ выполняют функции производственного подразделения ЕС. Это является залогом успешного будущего, так как большая часть тех отраслей, на которых специализируется регион, в целом, считаются наиболее успешными на уровне мировых рынков. Решающую роль в строительстве новых производственных мощностей региона сыграли прямые иностранные инвестиции, а эффективность процесса способствовала созданию значимого внутреннего рынка. </w:t>
      </w:r>
      <w:r w:rsidRPr="00DC4179">
        <w:rPr>
          <w:sz w:val="28"/>
          <w:szCs w:val="28"/>
          <w:lang w:val="ru-RU"/>
        </w:rPr>
        <w:t xml:space="preserve">Структурная перестройка в машиностроении стран Центральной Европы происходит в направлении увеличения инвестиций в целом и особенно в НИОКР. В результате развития техники и технологии изменяются основы и структура традиционных отраслей, развиваются новые наукоемкие отрасли (производство автоматики, радиоэлектроники, ЭВМ, робототехники, космические и лазерные техники). В настоящее время в сельском хозяйстве стран ЦВЕ активно происходит процесс изменения структуры аграрного производства, быстрыми темпами развиваются рыночные отношения с полной или частичной </w:t>
      </w:r>
      <w:r w:rsidRPr="00DC4179">
        <w:rPr>
          <w:sz w:val="28"/>
          <w:szCs w:val="28"/>
          <w:lang w:val="ru-RU"/>
        </w:rPr>
        <w:lastRenderedPageBreak/>
        <w:t xml:space="preserve">либерализацией цен и полной хозяйственной самостоятельностью товаропроизводителей, трансформируются отношения собственности на землю и структура хозяйств, производящих аграрную продукцию. За последние 10 лет на смену системе крупных кооперативов пришли частные фермерские хозяйства, которые уже владеют большей частью сельскохозяйственных земель, что прежде имело место </w:t>
      </w:r>
      <w:r w:rsidR="00D94915">
        <w:rPr>
          <w:sz w:val="28"/>
          <w:szCs w:val="28"/>
          <w:lang w:val="ru-RU"/>
        </w:rPr>
        <w:t xml:space="preserve">только </w:t>
      </w:r>
      <w:r w:rsidRPr="00DC4179">
        <w:rPr>
          <w:sz w:val="28"/>
          <w:szCs w:val="28"/>
          <w:lang w:val="ru-RU"/>
        </w:rPr>
        <w:t>в Польше. Этот процесс продолжается.</w:t>
      </w:r>
    </w:p>
    <w:p w:rsidR="00CE71DB" w:rsidRDefault="00CE71DB" w:rsidP="00AA305F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6117C" w:rsidRDefault="009C7B7C" w:rsidP="00AA305F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76117C">
        <w:rPr>
          <w:rFonts w:cs="Times New Roman"/>
          <w:b/>
          <w:sz w:val="32"/>
          <w:szCs w:val="32"/>
        </w:rPr>
        <w:t>Прирост населения.</w:t>
      </w:r>
    </w:p>
    <w:p w:rsidR="00CE71DB" w:rsidRDefault="009C7B7C" w:rsidP="00CE71DB">
      <w:pPr>
        <w:keepNext/>
        <w:spacing w:line="360" w:lineRule="auto"/>
        <w:ind w:firstLine="709"/>
        <w:jc w:val="center"/>
      </w:pPr>
      <w:r w:rsidRPr="009C7B7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867025"/>
            <wp:effectExtent l="19050" t="0" r="9525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62B1" w:rsidRDefault="00CE71DB" w:rsidP="00CE71DB">
      <w:pPr>
        <w:pStyle w:val="a6"/>
      </w:pPr>
      <w:r>
        <w:t>Рисунок 9</w:t>
      </w:r>
    </w:p>
    <w:p w:rsidR="00CE71DB" w:rsidRPr="0076117C" w:rsidRDefault="00CE71DB" w:rsidP="00CE71DB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>Общий прирост населения Евросоюза</w:t>
      </w:r>
    </w:p>
    <w:p w:rsidR="00CE71DB" w:rsidRPr="00CE71DB" w:rsidRDefault="00CE71DB" w:rsidP="00CE71DB"/>
    <w:p w:rsidR="009F62B1" w:rsidRPr="00863BBC" w:rsidRDefault="00CE71DB" w:rsidP="00863BB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рисунке 9</w:t>
      </w:r>
      <w:r w:rsidR="00863BBC">
        <w:rPr>
          <w:rFonts w:cs="Times New Roman"/>
          <w:sz w:val="28"/>
          <w:szCs w:val="28"/>
        </w:rPr>
        <w:t xml:space="preserve"> и в приложении (Основные макроэкономические показатели таблица 2) </w:t>
      </w:r>
      <w:r w:rsidR="009F62B1" w:rsidRPr="009F62B1">
        <w:rPr>
          <w:rFonts w:cs="Times New Roman"/>
          <w:sz w:val="28"/>
          <w:szCs w:val="28"/>
        </w:rPr>
        <w:t xml:space="preserve">, мы можем проследить динамику общего прироста населения в </w:t>
      </w:r>
      <w:r w:rsidR="009F62B1">
        <w:rPr>
          <w:rFonts w:cs="Times New Roman"/>
          <w:sz w:val="28"/>
          <w:szCs w:val="28"/>
        </w:rPr>
        <w:t xml:space="preserve">Европейском союзе. Примечательно, что общий прирост населения в Евросоюзе в конце 2010 года составил 2,7%. В частности в старых странах членах ЕС 15,  он составил 3,2%, а новых странах членах ЕС 12, -4%. На </w:t>
      </w:r>
      <w:proofErr w:type="spellStart"/>
      <w:r>
        <w:rPr>
          <w:rFonts w:cs="Times New Roman"/>
          <w:sz w:val="28"/>
          <w:szCs w:val="28"/>
        </w:rPr>
        <w:t>рисунок</w:t>
      </w:r>
      <w:r w:rsidR="009F62B1">
        <w:rPr>
          <w:rFonts w:cs="Times New Roman"/>
          <w:sz w:val="28"/>
          <w:szCs w:val="28"/>
        </w:rPr>
        <w:t>ах</w:t>
      </w:r>
      <w:proofErr w:type="spellEnd"/>
      <w:r w:rsidR="009F62B1">
        <w:rPr>
          <w:rFonts w:cs="Times New Roman"/>
          <w:sz w:val="28"/>
          <w:szCs w:val="28"/>
        </w:rPr>
        <w:t xml:space="preserve"> 9 и 10, можно </w:t>
      </w:r>
      <w:proofErr w:type="gramStart"/>
      <w:r w:rsidR="009F62B1">
        <w:rPr>
          <w:rFonts w:cs="Times New Roman"/>
          <w:sz w:val="28"/>
          <w:szCs w:val="28"/>
        </w:rPr>
        <w:t>заметить</w:t>
      </w:r>
      <w:proofErr w:type="gramEnd"/>
      <w:r w:rsidR="009F62B1">
        <w:rPr>
          <w:rFonts w:cs="Times New Roman"/>
          <w:sz w:val="28"/>
          <w:szCs w:val="28"/>
        </w:rPr>
        <w:t xml:space="preserve"> что естественный прирост групп стран составил 1,02</w:t>
      </w:r>
      <w:r w:rsidR="001C6E41">
        <w:rPr>
          <w:rFonts w:cs="Times New Roman"/>
          <w:sz w:val="28"/>
          <w:szCs w:val="28"/>
        </w:rPr>
        <w:t>%</w:t>
      </w:r>
      <w:r w:rsidR="009F62B1">
        <w:rPr>
          <w:rFonts w:cs="Times New Roman"/>
          <w:sz w:val="28"/>
          <w:szCs w:val="28"/>
        </w:rPr>
        <w:t xml:space="preserve">; 0,99% и 0,06% соответственно, а миграционный прирост </w:t>
      </w:r>
      <w:r w:rsidR="001C6E41">
        <w:rPr>
          <w:rFonts w:cs="Times New Roman"/>
          <w:sz w:val="28"/>
          <w:szCs w:val="28"/>
        </w:rPr>
        <w:t xml:space="preserve">1,7%; </w:t>
      </w:r>
      <w:proofErr w:type="gramStart"/>
      <w:r w:rsidR="001C6E41">
        <w:rPr>
          <w:rFonts w:cs="Times New Roman"/>
          <w:sz w:val="28"/>
          <w:szCs w:val="28"/>
        </w:rPr>
        <w:t xml:space="preserve">2,2% и – 0,4%. Приведенные на </w:t>
      </w:r>
      <w:proofErr w:type="spellStart"/>
      <w:r>
        <w:rPr>
          <w:rFonts w:cs="Times New Roman"/>
          <w:sz w:val="28"/>
          <w:szCs w:val="28"/>
        </w:rPr>
        <w:t>рисунок</w:t>
      </w:r>
      <w:r w:rsidR="001C6E41">
        <w:rPr>
          <w:rFonts w:cs="Times New Roman"/>
          <w:sz w:val="28"/>
          <w:szCs w:val="28"/>
        </w:rPr>
        <w:t>ах</w:t>
      </w:r>
      <w:proofErr w:type="spellEnd"/>
      <w:r w:rsidR="001C6E41">
        <w:rPr>
          <w:rFonts w:cs="Times New Roman"/>
          <w:sz w:val="28"/>
          <w:szCs w:val="28"/>
        </w:rPr>
        <w:t xml:space="preserve"> данные свидетельствуют о том, что </w:t>
      </w:r>
      <w:r w:rsidR="001C6E41">
        <w:rPr>
          <w:rFonts w:cs="Times New Roman"/>
          <w:sz w:val="28"/>
          <w:szCs w:val="28"/>
        </w:rPr>
        <w:lastRenderedPageBreak/>
        <w:t xml:space="preserve">естественный прирост населения в Европе очень низок и находится на уровне около 1%, катастрофически плохо до недавнего времени обстояли дела в Новых странах членах, и в первую очередь в странах ЦВЕ, но за последние два года ситуация улучшилась, в регионе прекратилась убыль, и начало осуществляться расширенное воспроизводство населения. </w:t>
      </w:r>
      <w:proofErr w:type="gramEnd"/>
    </w:p>
    <w:p w:rsidR="00CE71DB" w:rsidRDefault="009C7B7C" w:rsidP="00CE71DB">
      <w:pPr>
        <w:keepNext/>
        <w:spacing w:line="360" w:lineRule="auto"/>
        <w:ind w:firstLine="709"/>
        <w:jc w:val="center"/>
      </w:pPr>
      <w:r w:rsidRPr="009C7B7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2867025"/>
            <wp:effectExtent l="19050" t="0" r="9525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62B1" w:rsidRDefault="00CE71DB" w:rsidP="00CE71DB">
      <w:pPr>
        <w:pStyle w:val="a6"/>
      </w:pPr>
      <w:r>
        <w:t xml:space="preserve">Рисунок </w:t>
      </w:r>
      <w:r w:rsidR="00DC3B99">
        <w:fldChar w:fldCharType="begin"/>
      </w:r>
      <w:r w:rsidR="00DC3B99">
        <w:instrText xml:space="preserve"> SEQ Рисунок \* ARABIC </w:instrText>
      </w:r>
      <w:r w:rsidR="00DC3B99">
        <w:fldChar w:fldCharType="separate"/>
      </w:r>
      <w:r w:rsidR="005D4C10">
        <w:rPr>
          <w:noProof/>
        </w:rPr>
        <w:t>9</w:t>
      </w:r>
      <w:r w:rsidR="00DC3B99">
        <w:rPr>
          <w:noProof/>
        </w:rPr>
        <w:fldChar w:fldCharType="end"/>
      </w:r>
    </w:p>
    <w:p w:rsidR="00CE71DB" w:rsidRPr="00CE71DB" w:rsidRDefault="00CE71DB" w:rsidP="00CE71DB">
      <w:pPr>
        <w:jc w:val="center"/>
      </w:pPr>
      <w:r>
        <w:rPr>
          <w:rFonts w:cs="Times New Roman"/>
          <w:b/>
          <w:sz w:val="28"/>
          <w:szCs w:val="28"/>
        </w:rPr>
        <w:t>Естественный прирост населения Евросоюза</w:t>
      </w:r>
      <w:proofErr w:type="gramStart"/>
      <w:r>
        <w:rPr>
          <w:rFonts w:cs="Times New Roman"/>
          <w:b/>
          <w:sz w:val="28"/>
          <w:szCs w:val="28"/>
        </w:rPr>
        <w:t xml:space="preserve"> (%)</w:t>
      </w:r>
      <w:proofErr w:type="gramEnd"/>
    </w:p>
    <w:p w:rsidR="009F62B1" w:rsidRDefault="009C7B7C" w:rsidP="00CE71DB">
      <w:pPr>
        <w:keepNext/>
        <w:spacing w:line="360" w:lineRule="auto"/>
        <w:ind w:firstLine="709"/>
        <w:jc w:val="center"/>
      </w:pPr>
      <w:r w:rsidRPr="009C7B7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895600"/>
            <wp:effectExtent l="19050" t="0" r="952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7B7C" w:rsidRDefault="00CE71DB" w:rsidP="00AA305F">
      <w:pPr>
        <w:pStyle w:val="a6"/>
        <w:spacing w:line="360" w:lineRule="auto"/>
        <w:ind w:firstLine="709"/>
      </w:pPr>
      <w:r>
        <w:t>Рисунок</w:t>
      </w:r>
      <w:r w:rsidR="009F62B1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1</w:t>
      </w:r>
      <w:r w:rsidR="00DC3B99">
        <w:rPr>
          <w:noProof/>
        </w:rPr>
        <w:fldChar w:fldCharType="end"/>
      </w:r>
    </w:p>
    <w:p w:rsidR="00CE71DB" w:rsidRPr="009F62B1" w:rsidRDefault="00CE71DB" w:rsidP="00CE71D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Механический прирост населения Евросоюза</w:t>
      </w:r>
    </w:p>
    <w:p w:rsidR="00CE71DB" w:rsidRPr="00CE71DB" w:rsidRDefault="00CE71DB" w:rsidP="00CE71DB"/>
    <w:p w:rsidR="00793708" w:rsidRDefault="00793708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данных условиях рост общей численности населения осуществлялся за счет потока иностранных иммигрантов в Европейский Союз, причем велика была доля нелегальной иммиграции. Наибольший рост потока иммигрантов отмечался в наиболее высокоразвитые страны ЕС, такие, как Бельгия 8,2%; Швеция 5,3%. Так же лидируют по числу иммигрантов Мальта 5,4% и Италия 5,2%, данные государства имеют удобное географическое положение, для нелегальных эмигрантов из Северной Африки. Выходцы из Африки </w:t>
      </w:r>
      <w:proofErr w:type="gramStart"/>
      <w:r>
        <w:rPr>
          <w:rFonts w:cs="Times New Roman"/>
          <w:sz w:val="28"/>
          <w:szCs w:val="28"/>
        </w:rPr>
        <w:t>используют зачастую используют</w:t>
      </w:r>
      <w:proofErr w:type="gramEnd"/>
      <w:r>
        <w:rPr>
          <w:rFonts w:cs="Times New Roman"/>
          <w:sz w:val="28"/>
          <w:szCs w:val="28"/>
        </w:rPr>
        <w:t xml:space="preserve"> Италию как «перевалочный пункт», однако львиная доля остается там навсегда. Вопрос заселения республики иностранными эмигрантами стоит очень остро, и является серьезным фактором социальной нестабильности. Важно </w:t>
      </w:r>
      <w:proofErr w:type="gramStart"/>
      <w:r>
        <w:rPr>
          <w:rFonts w:cs="Times New Roman"/>
          <w:sz w:val="28"/>
          <w:szCs w:val="28"/>
        </w:rPr>
        <w:t>отметить</w:t>
      </w:r>
      <w:proofErr w:type="gramEnd"/>
      <w:r>
        <w:rPr>
          <w:rFonts w:cs="Times New Roman"/>
          <w:sz w:val="28"/>
          <w:szCs w:val="28"/>
        </w:rPr>
        <w:t xml:space="preserve"> что рост данного потока в последние два года обусловлен политическим переворотом и гражданской в Египте и революцией в Тунисе. </w:t>
      </w:r>
    </w:p>
    <w:p w:rsidR="009F62B1" w:rsidRDefault="00793708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Важно так же отметить вектор </w:t>
      </w:r>
      <w:proofErr w:type="spellStart"/>
      <w:r>
        <w:rPr>
          <w:rFonts w:cs="Times New Roman"/>
          <w:sz w:val="28"/>
          <w:szCs w:val="28"/>
        </w:rPr>
        <w:t>внутриевропейских</w:t>
      </w:r>
      <w:proofErr w:type="spellEnd"/>
      <w:r>
        <w:rPr>
          <w:rFonts w:cs="Times New Roman"/>
          <w:sz w:val="28"/>
          <w:szCs w:val="28"/>
        </w:rPr>
        <w:t xml:space="preserve"> миграций, направленный из стран ЦВЕ и Прибалтики в Западную Европу. Граждане стран ЦВЕ в связи с открывшимися возможностями беспрепятственного перемещения в рамках ЕС, уезжают на заработки в страны с более высоким уровнем оплаты труда. Однако уровень отрицательного механического прироста устойчиво сокращается. Это связано с высоким повышением уровня и качества жизни в данных государствах в течение последних десяти лет. Та</w:t>
      </w:r>
      <w:r w:rsidR="00771D8D">
        <w:rPr>
          <w:rFonts w:cs="Times New Roman"/>
          <w:sz w:val="28"/>
          <w:szCs w:val="28"/>
        </w:rPr>
        <w:t xml:space="preserve">кже определенный эффект производит увеличения потока иммигрантов в сами страны ЦВЕ из других стран и регионов. </w:t>
      </w:r>
    </w:p>
    <w:p w:rsidR="00CE71DB" w:rsidRPr="0076117C" w:rsidRDefault="00CE71DB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83FF3" w:rsidRPr="00D04B78" w:rsidRDefault="00C31DD0" w:rsidP="00AA305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04B78">
        <w:rPr>
          <w:b/>
          <w:sz w:val="32"/>
          <w:szCs w:val="32"/>
        </w:rPr>
        <w:t>Внешняя торговля</w:t>
      </w:r>
      <w:r w:rsidR="00183FF3" w:rsidRPr="00D04B78">
        <w:rPr>
          <w:b/>
          <w:sz w:val="32"/>
          <w:szCs w:val="32"/>
        </w:rPr>
        <w:t>. Торговый баланс. Платежный баланс. Анализ индекса конкурентоспособности стран – членов ЕС.</w:t>
      </w:r>
    </w:p>
    <w:p w:rsidR="00BF0070" w:rsidRPr="00985DD6" w:rsidRDefault="00CD51F6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0D60">
        <w:rPr>
          <w:sz w:val="28"/>
          <w:szCs w:val="28"/>
        </w:rPr>
        <w:t xml:space="preserve">Уровень «открытости» экономики ЕС, измеряемый экспортной и импортной квотами, значительно выше, чем в других центрах мирового </w:t>
      </w:r>
      <w:r w:rsidRPr="00FE0D60">
        <w:rPr>
          <w:sz w:val="28"/>
          <w:szCs w:val="28"/>
        </w:rPr>
        <w:lastRenderedPageBreak/>
        <w:t>хозяйства.</w:t>
      </w:r>
      <w:proofErr w:type="gramEnd"/>
      <w:r w:rsidRPr="00FE0D60">
        <w:rPr>
          <w:sz w:val="28"/>
          <w:szCs w:val="28"/>
        </w:rPr>
        <w:t xml:space="preserve"> Однако страны ЕС в целом зависят от внешнего мира, за счет которого им приходится удовлетворять 45% своих энергетических потребностей и самых необходимых сырьевых ресурсов. Экспортная квота в среднем составляет около 25%. Для отдельных, прежде всего малых, западноевропейских стран зависимость от внешнего рынка еще более существенная.</w:t>
      </w:r>
      <w:r w:rsidR="007232F0">
        <w:rPr>
          <w:sz w:val="28"/>
          <w:szCs w:val="28"/>
        </w:rPr>
        <w:t xml:space="preserve"> </w:t>
      </w:r>
      <w:proofErr w:type="gramStart"/>
      <w:r w:rsidRPr="00FE0D60"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торговли стран ЕС приходится на взаимную торговлю (у всех стран</w:t>
      </w:r>
      <w:r>
        <w:rPr>
          <w:sz w:val="28"/>
          <w:szCs w:val="28"/>
        </w:rPr>
        <w:t xml:space="preserve"> ЕС этот показатель превышает </w:t>
      </w:r>
      <w:r w:rsidR="00457211">
        <w:rPr>
          <w:sz w:val="28"/>
          <w:szCs w:val="28"/>
        </w:rPr>
        <w:t xml:space="preserve">60%, а у малых стран — 80%, см. </w:t>
      </w:r>
      <w:r w:rsidR="00CE71DB">
        <w:rPr>
          <w:sz w:val="28"/>
          <w:szCs w:val="28"/>
        </w:rPr>
        <w:t>рисунок</w:t>
      </w:r>
      <w:r w:rsidR="00457211">
        <w:rPr>
          <w:sz w:val="28"/>
          <w:szCs w:val="28"/>
        </w:rPr>
        <w:t xml:space="preserve"> 13 и </w:t>
      </w:r>
      <w:r>
        <w:rPr>
          <w:sz w:val="28"/>
          <w:szCs w:val="28"/>
        </w:rPr>
        <w:t>Приложение)</w:t>
      </w:r>
      <w:r w:rsidRPr="00FE0D60">
        <w:rPr>
          <w:sz w:val="28"/>
          <w:szCs w:val="28"/>
        </w:rPr>
        <w:t>, около 10% — на торговлю с другими европейскими странами — членами ОЭСР, около 7% — на торговлю с США, около 4% — на торговлю с Японией, около 12% — на торговлю с развивающимися странами.</w:t>
      </w:r>
      <w:proofErr w:type="gramEnd"/>
    </w:p>
    <w:p w:rsidR="00457211" w:rsidRPr="0076117C" w:rsidRDefault="00457211" w:rsidP="00AA30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5721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00600" cy="2076450"/>
            <wp:effectExtent l="19050" t="0" r="1905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5DD6" w:rsidRDefault="00CE71DB" w:rsidP="00AA305F">
      <w:pPr>
        <w:pStyle w:val="a6"/>
        <w:spacing w:line="360" w:lineRule="auto"/>
      </w:pPr>
      <w:r>
        <w:t>Рисунок</w:t>
      </w:r>
      <w:r w:rsidR="00457211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2</w:t>
      </w:r>
      <w:r w:rsidR="00DC3B99">
        <w:rPr>
          <w:noProof/>
        </w:rPr>
        <w:fldChar w:fldCharType="end"/>
      </w:r>
    </w:p>
    <w:p w:rsidR="00CE71DB" w:rsidRPr="00CE71DB" w:rsidRDefault="00CE71DB" w:rsidP="00CE71DB">
      <w:pPr>
        <w:jc w:val="center"/>
      </w:pPr>
      <w:r w:rsidRPr="00457211">
        <w:rPr>
          <w:b/>
          <w:sz w:val="28"/>
          <w:szCs w:val="28"/>
        </w:rPr>
        <w:t>Общий объем экспорта и импорта стран ЕС (миллионов евро)</w:t>
      </w:r>
    </w:p>
    <w:p w:rsidR="00457211" w:rsidRDefault="00A95A68" w:rsidP="00AA305F">
      <w:pPr>
        <w:keepNext/>
        <w:widowControl w:val="0"/>
        <w:spacing w:line="360" w:lineRule="auto"/>
        <w:ind w:firstLine="709"/>
        <w:jc w:val="center"/>
      </w:pPr>
      <w:r w:rsidRPr="00A95A68">
        <w:rPr>
          <w:noProof/>
          <w:sz w:val="28"/>
          <w:szCs w:val="28"/>
          <w:lang w:eastAsia="ru-RU"/>
        </w:rPr>
        <w:drawing>
          <wp:inline distT="0" distB="0" distL="0" distR="0">
            <wp:extent cx="4648200" cy="234315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5A68" w:rsidRDefault="00CE71DB" w:rsidP="00AA305F">
      <w:pPr>
        <w:pStyle w:val="a6"/>
        <w:spacing w:line="360" w:lineRule="auto"/>
        <w:ind w:firstLine="709"/>
        <w:jc w:val="both"/>
      </w:pPr>
      <w:r>
        <w:t>Рисунок</w:t>
      </w:r>
      <w:r w:rsidR="00457211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3</w:t>
      </w:r>
      <w:r w:rsidR="00DC3B99">
        <w:rPr>
          <w:noProof/>
        </w:rPr>
        <w:fldChar w:fldCharType="end"/>
      </w:r>
    </w:p>
    <w:p w:rsidR="00CE71DB" w:rsidRPr="00CE71DB" w:rsidRDefault="00CE71DB" w:rsidP="00CE71D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57211">
        <w:rPr>
          <w:b/>
          <w:sz w:val="28"/>
          <w:szCs w:val="28"/>
        </w:rPr>
        <w:lastRenderedPageBreak/>
        <w:t xml:space="preserve">Доля </w:t>
      </w:r>
      <w:proofErr w:type="spellStart"/>
      <w:r w:rsidRPr="00457211">
        <w:rPr>
          <w:b/>
          <w:sz w:val="28"/>
          <w:szCs w:val="28"/>
        </w:rPr>
        <w:t>внутриевропевропеского</w:t>
      </w:r>
      <w:proofErr w:type="spellEnd"/>
      <w:r w:rsidRPr="00457211">
        <w:rPr>
          <w:b/>
          <w:sz w:val="28"/>
          <w:szCs w:val="28"/>
        </w:rPr>
        <w:t xml:space="preserve"> экспорта и импорта в общей объеме.</w:t>
      </w:r>
    </w:p>
    <w:p w:rsidR="00985DD6" w:rsidRPr="00D51E10" w:rsidRDefault="00457211" w:rsidP="00AA305F">
      <w:pPr>
        <w:spacing w:line="360" w:lineRule="auto"/>
        <w:ind w:firstLine="709"/>
        <w:rPr>
          <w:sz w:val="28"/>
          <w:szCs w:val="28"/>
        </w:rPr>
      </w:pPr>
      <w:proofErr w:type="gramStart"/>
      <w:r w:rsidRPr="0045721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ЕС является лидером в международном экспорте, его доля в 2011 году составила 16%, однако данный показатель снижался в течение последних 11 лет, так в 2000 г., он составлял 17,5%. Это связано в первую очередь с тем, что в мировой торговле быстрыми темпами растет доля развивающихся стран, и в первую очередь стран НИ</w:t>
      </w:r>
      <w:r w:rsidR="000250E5">
        <w:rPr>
          <w:sz w:val="28"/>
          <w:szCs w:val="28"/>
        </w:rPr>
        <w:t xml:space="preserve">С и БРИК (см. </w:t>
      </w:r>
      <w:r w:rsidR="00CE71DB">
        <w:rPr>
          <w:sz w:val="28"/>
          <w:szCs w:val="28"/>
        </w:rPr>
        <w:t>рисунок</w:t>
      </w:r>
      <w:r w:rsidR="000250E5">
        <w:rPr>
          <w:sz w:val="28"/>
          <w:szCs w:val="28"/>
        </w:rPr>
        <w:t xml:space="preserve"> 14).</w:t>
      </w:r>
      <w:proofErr w:type="gramEnd"/>
    </w:p>
    <w:p w:rsidR="000250E5" w:rsidRDefault="000250E5" w:rsidP="00AA305F">
      <w:pPr>
        <w:keepNext/>
        <w:spacing w:line="360" w:lineRule="auto"/>
        <w:ind w:firstLine="709"/>
      </w:pPr>
      <w:r w:rsidRPr="000250E5">
        <w:rPr>
          <w:noProof/>
          <w:sz w:val="28"/>
          <w:szCs w:val="28"/>
          <w:lang w:eastAsia="ru-RU"/>
        </w:rPr>
        <w:drawing>
          <wp:inline distT="0" distB="0" distL="0" distR="0">
            <wp:extent cx="5267325" cy="2847975"/>
            <wp:effectExtent l="19050" t="0" r="9525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250E5" w:rsidRDefault="00CE71DB" w:rsidP="00AA305F">
      <w:pPr>
        <w:pStyle w:val="a6"/>
        <w:spacing w:line="360" w:lineRule="auto"/>
        <w:ind w:firstLine="709"/>
      </w:pPr>
      <w:r>
        <w:t>Рисунок</w:t>
      </w:r>
      <w:r w:rsidR="000250E5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4</w:t>
      </w:r>
      <w:r w:rsidR="00DC3B99">
        <w:rPr>
          <w:noProof/>
        </w:rPr>
        <w:fldChar w:fldCharType="end"/>
      </w:r>
    </w:p>
    <w:p w:rsidR="00CE71DB" w:rsidRPr="0076117C" w:rsidRDefault="00CE71DB" w:rsidP="00CE71DB">
      <w:pPr>
        <w:spacing w:line="360" w:lineRule="auto"/>
        <w:ind w:firstLine="709"/>
        <w:jc w:val="center"/>
        <w:rPr>
          <w:sz w:val="28"/>
          <w:szCs w:val="28"/>
        </w:rPr>
      </w:pPr>
      <w:r w:rsidRPr="000250E5">
        <w:rPr>
          <w:b/>
          <w:sz w:val="28"/>
          <w:szCs w:val="28"/>
        </w:rPr>
        <w:t xml:space="preserve">Доля национальной торговли </w:t>
      </w:r>
      <w:proofErr w:type="gramStart"/>
      <w:r w:rsidRPr="000250E5">
        <w:rPr>
          <w:b/>
          <w:sz w:val="28"/>
          <w:szCs w:val="28"/>
        </w:rPr>
        <w:t>в</w:t>
      </w:r>
      <w:proofErr w:type="gramEnd"/>
      <w:r w:rsidRPr="000250E5">
        <w:rPr>
          <w:b/>
          <w:sz w:val="28"/>
          <w:szCs w:val="28"/>
        </w:rPr>
        <w:t xml:space="preserve"> общемировой (%).</w:t>
      </w:r>
    </w:p>
    <w:p w:rsidR="00CE71DB" w:rsidRPr="00CE71DB" w:rsidRDefault="00CE71DB" w:rsidP="00CE71DB">
      <w:pPr>
        <w:jc w:val="center"/>
      </w:pPr>
    </w:p>
    <w:p w:rsidR="00985DD6" w:rsidRPr="00D51E10" w:rsidRDefault="00CD51F6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60">
        <w:rPr>
          <w:sz w:val="28"/>
          <w:szCs w:val="28"/>
        </w:rPr>
        <w:t>Несмотря на то, что торговые контакты между отдельными европейскими странами играют весьма значительную роль во внешней торговле стран Союза, региональный рынок европейских стран не может</w:t>
      </w:r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ограничить сферы деловой активности европейских компаний. Страны ЕС вынуждены общаться с другими секторами мировой экономики, что обусловлено, в частности, ресурсной ограниченностью региона. Нефть, газ, уголь, лес, цветные металлы и многое другое страны ЕС</w:t>
      </w:r>
      <w:r>
        <w:rPr>
          <w:sz w:val="28"/>
          <w:szCs w:val="28"/>
        </w:rPr>
        <w:t xml:space="preserve"> преимущественно импортируют, так доля минерального топлива в импорте, а также доля сырьевых материалов составили в 2011 году 28,9% и 5,1% соответственно</w:t>
      </w:r>
      <w:r w:rsidR="000250E5">
        <w:rPr>
          <w:sz w:val="28"/>
          <w:szCs w:val="28"/>
        </w:rPr>
        <w:t>, и данный показатель имеет уверенный возрастающий тренд</w:t>
      </w:r>
      <w:r w:rsidRPr="00FE0D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50E5"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 xml:space="preserve">Кроме того, другие страны являются для Союза важными </w:t>
      </w:r>
      <w:r w:rsidRPr="00FE0D60">
        <w:rPr>
          <w:sz w:val="28"/>
          <w:szCs w:val="28"/>
        </w:rPr>
        <w:lastRenderedPageBreak/>
        <w:t>рынками сбыта продукции, поскольку ЕС — крупнейший экспортер сельскохозяйственной продукции. Европейские пищевые и текстильные компании — мировые лидеры в своей отрасли.</w:t>
      </w:r>
    </w:p>
    <w:p w:rsidR="000250E5" w:rsidRDefault="000250E5" w:rsidP="00AA305F">
      <w:pPr>
        <w:keepNext/>
        <w:widowControl w:val="0"/>
        <w:spacing w:line="360" w:lineRule="auto"/>
        <w:ind w:firstLine="709"/>
        <w:jc w:val="both"/>
      </w:pPr>
      <w:r w:rsidRPr="000250E5">
        <w:rPr>
          <w:noProof/>
          <w:sz w:val="28"/>
          <w:szCs w:val="28"/>
          <w:lang w:eastAsia="ru-RU"/>
        </w:rPr>
        <w:drawing>
          <wp:inline distT="0" distB="0" distL="0" distR="0">
            <wp:extent cx="5581650" cy="3114675"/>
            <wp:effectExtent l="19050" t="0" r="1905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250E5" w:rsidRDefault="00CE71DB" w:rsidP="00AA305F">
      <w:pPr>
        <w:pStyle w:val="a6"/>
        <w:spacing w:line="360" w:lineRule="auto"/>
        <w:ind w:firstLine="709"/>
        <w:jc w:val="both"/>
      </w:pPr>
      <w:r>
        <w:t>Рисунок</w:t>
      </w:r>
      <w:r w:rsidR="000250E5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5</w:t>
      </w:r>
      <w:r w:rsidR="00DC3B99">
        <w:rPr>
          <w:noProof/>
        </w:rPr>
        <w:fldChar w:fldCharType="end"/>
      </w:r>
    </w:p>
    <w:p w:rsidR="00CE71DB" w:rsidRPr="000250E5" w:rsidRDefault="00CE71DB" w:rsidP="00CE71D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250E5">
        <w:rPr>
          <w:b/>
          <w:sz w:val="28"/>
          <w:szCs w:val="28"/>
        </w:rPr>
        <w:t xml:space="preserve">Отраслевая структура </w:t>
      </w:r>
      <w:r>
        <w:rPr>
          <w:b/>
          <w:sz w:val="28"/>
          <w:szCs w:val="28"/>
        </w:rPr>
        <w:t xml:space="preserve">импорта </w:t>
      </w:r>
      <w:r w:rsidRPr="000250E5">
        <w:rPr>
          <w:b/>
          <w:sz w:val="28"/>
          <w:szCs w:val="28"/>
        </w:rPr>
        <w:t>ЕС</w:t>
      </w:r>
      <w:proofErr w:type="gramStart"/>
      <w:r w:rsidRPr="000250E5">
        <w:rPr>
          <w:b/>
          <w:sz w:val="28"/>
          <w:szCs w:val="28"/>
        </w:rPr>
        <w:t xml:space="preserve"> (%)</w:t>
      </w:r>
      <w:proofErr w:type="gramEnd"/>
    </w:p>
    <w:p w:rsidR="00CE71DB" w:rsidRPr="00CE71DB" w:rsidRDefault="00CE71DB" w:rsidP="00CE71DB"/>
    <w:p w:rsidR="000250E5" w:rsidRDefault="00CD51F6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60">
        <w:rPr>
          <w:sz w:val="28"/>
          <w:szCs w:val="28"/>
        </w:rPr>
        <w:t xml:space="preserve"> </w:t>
      </w:r>
      <w:r w:rsidR="001406A4">
        <w:rPr>
          <w:sz w:val="28"/>
          <w:szCs w:val="28"/>
        </w:rPr>
        <w:t xml:space="preserve">На </w:t>
      </w:r>
      <w:r w:rsidR="00CE71DB">
        <w:rPr>
          <w:sz w:val="28"/>
          <w:szCs w:val="28"/>
        </w:rPr>
        <w:t>рисунке</w:t>
      </w:r>
      <w:r w:rsidR="001406A4">
        <w:rPr>
          <w:sz w:val="28"/>
          <w:szCs w:val="28"/>
        </w:rPr>
        <w:t xml:space="preserve"> 16 и в приложении, мы видим, что отраслевая структура экспорта ЕС остается стабильной на протяжении последнего десятилетия. </w:t>
      </w:r>
      <w:r w:rsidRPr="00FE0D60">
        <w:rPr>
          <w:sz w:val="28"/>
          <w:szCs w:val="28"/>
        </w:rPr>
        <w:t xml:space="preserve">Традиционно сильные позиции занимает европейская химическая промышленность. Она поставляет на мировые рынки около 2/3 всего экспорта промышленных товаров по сравнению с 15% США и 5% Японии. ЕС является крупнейшим экспортером продукции машиностроения, даже без учета </w:t>
      </w:r>
      <w:proofErr w:type="spellStart"/>
      <w:r w:rsidRPr="00FE0D60">
        <w:rPr>
          <w:sz w:val="28"/>
          <w:szCs w:val="28"/>
        </w:rPr>
        <w:t>внутрирегионального</w:t>
      </w:r>
      <w:proofErr w:type="spellEnd"/>
      <w:r w:rsidRPr="00FE0D60">
        <w:rPr>
          <w:sz w:val="28"/>
          <w:szCs w:val="28"/>
        </w:rPr>
        <w:t xml:space="preserve"> оборота на западноевропейские страны приходится почти 30% ее мирового экспорта (Япония — 18%, США — 13%). Весьма прочные позиции занимает ЕС в области телекоммуникационного и аэрокосмического оборудования, оптоэлектроники. На западноевропейскую авиационную промышленность, которая экспортирует почти, 1/3 своего выпуска, приходится около 1/4 мирового рынка гражданского </w:t>
      </w:r>
      <w:r>
        <w:rPr>
          <w:sz w:val="28"/>
          <w:szCs w:val="28"/>
        </w:rPr>
        <w:t xml:space="preserve">авиастроения. Однако, с </w:t>
      </w:r>
      <w:r w:rsidRPr="00FE0D60">
        <w:rPr>
          <w:sz w:val="28"/>
          <w:szCs w:val="28"/>
        </w:rPr>
        <w:t xml:space="preserve"> другой </w:t>
      </w:r>
      <w:r w:rsidRPr="00FE0D60">
        <w:rPr>
          <w:sz w:val="28"/>
          <w:szCs w:val="28"/>
        </w:rPr>
        <w:lastRenderedPageBreak/>
        <w:t>стороны, сохраняется отрицательное сальдо баланса ЕС в торговле высокотехнологичным информационным оборудованием, бытовой электроникой.</w:t>
      </w:r>
      <w:r w:rsidR="008A3A60">
        <w:rPr>
          <w:sz w:val="28"/>
          <w:szCs w:val="28"/>
        </w:rPr>
        <w:t xml:space="preserve"> </w:t>
      </w:r>
      <w:r w:rsidR="008A3A60" w:rsidRPr="00FE0D60">
        <w:rPr>
          <w:sz w:val="28"/>
          <w:szCs w:val="28"/>
        </w:rPr>
        <w:t>Промышленно развитые страны остаются главными торговыми партнерами ЕС среди третьих стран, из которых можно выделить США и Японию.</w:t>
      </w:r>
    </w:p>
    <w:p w:rsidR="000250E5" w:rsidRDefault="000250E5" w:rsidP="00AA305F">
      <w:pPr>
        <w:keepNext/>
        <w:widowControl w:val="0"/>
        <w:spacing w:line="360" w:lineRule="auto"/>
        <w:ind w:firstLine="709"/>
        <w:jc w:val="both"/>
      </w:pPr>
      <w:r w:rsidRPr="000250E5">
        <w:rPr>
          <w:noProof/>
          <w:sz w:val="28"/>
          <w:szCs w:val="28"/>
          <w:lang w:eastAsia="ru-RU"/>
        </w:rPr>
        <w:drawing>
          <wp:inline distT="0" distB="0" distL="0" distR="0">
            <wp:extent cx="5143500" cy="2800350"/>
            <wp:effectExtent l="19050" t="0" r="1905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250E5" w:rsidRDefault="00CE71DB" w:rsidP="00AA305F">
      <w:pPr>
        <w:pStyle w:val="a6"/>
        <w:spacing w:line="360" w:lineRule="auto"/>
        <w:ind w:firstLine="709"/>
        <w:jc w:val="both"/>
      </w:pPr>
      <w:r>
        <w:t>Рисунок</w:t>
      </w:r>
      <w:r w:rsidR="000250E5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6</w:t>
      </w:r>
      <w:r w:rsidR="00DC3B99">
        <w:rPr>
          <w:noProof/>
        </w:rPr>
        <w:fldChar w:fldCharType="end"/>
      </w:r>
    </w:p>
    <w:p w:rsidR="00CE71DB" w:rsidRPr="000250E5" w:rsidRDefault="00CE71DB" w:rsidP="00CE71D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Отраслевая структура экспорта ЕС.</w:t>
      </w:r>
    </w:p>
    <w:p w:rsidR="000250E5" w:rsidRPr="000250E5" w:rsidRDefault="000250E5" w:rsidP="00AA305F">
      <w:pPr>
        <w:spacing w:line="360" w:lineRule="auto"/>
        <w:ind w:firstLine="709"/>
      </w:pPr>
    </w:p>
    <w:p w:rsidR="000250E5" w:rsidRDefault="008A3A60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60">
        <w:rPr>
          <w:sz w:val="28"/>
          <w:szCs w:val="28"/>
        </w:rPr>
        <w:t>На долю промышленных товаров приходится около 80% общего импорта стран ЕС из США.</w:t>
      </w:r>
      <w:proofErr w:type="gramStart"/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.</w:t>
      </w:r>
      <w:proofErr w:type="gramEnd"/>
      <w:r w:rsidRPr="00FE0D60">
        <w:rPr>
          <w:sz w:val="28"/>
          <w:szCs w:val="28"/>
        </w:rPr>
        <w:t xml:space="preserve"> К товарам, потребность в импорте которых удовлетворяется в большой степени за счет импорта из США, относятся масленичные (49% всего импорта этого товара в страны ЕС обеспечивается за счет импорта из США), измерительные инструменты (48,4%), </w:t>
      </w:r>
      <w:r>
        <w:rPr>
          <w:sz w:val="28"/>
          <w:szCs w:val="28"/>
        </w:rPr>
        <w:t xml:space="preserve">химические материалы и продукты </w:t>
      </w:r>
      <w:r w:rsidRPr="00FE0D60">
        <w:rPr>
          <w:sz w:val="28"/>
          <w:szCs w:val="28"/>
        </w:rPr>
        <w:t>(44,4%)</w:t>
      </w:r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электрогенераторы (43,9%) и прочее транспортное оборудование (43%).</w:t>
      </w:r>
      <w:r>
        <w:rPr>
          <w:sz w:val="28"/>
          <w:szCs w:val="28"/>
        </w:rPr>
        <w:t xml:space="preserve">  </w:t>
      </w:r>
      <w:r w:rsidRPr="00FE0D60">
        <w:rPr>
          <w:sz w:val="28"/>
          <w:szCs w:val="28"/>
        </w:rPr>
        <w:t>Основная продукция, экспортируемая в США из стран ЕС, — транспортные средства</w:t>
      </w:r>
      <w:r>
        <w:rPr>
          <w:sz w:val="28"/>
          <w:szCs w:val="28"/>
        </w:rPr>
        <w:t xml:space="preserve">. </w:t>
      </w:r>
      <w:r w:rsidRPr="00FE0D60">
        <w:rPr>
          <w:sz w:val="28"/>
          <w:szCs w:val="28"/>
        </w:rPr>
        <w:t xml:space="preserve">Около 20% совокупного экспорта </w:t>
      </w:r>
      <w:r w:rsidRPr="008A3A60">
        <w:rPr>
          <w:sz w:val="28"/>
          <w:szCs w:val="28"/>
        </w:rPr>
        <w:t xml:space="preserve">транспортных средств из стран ЕС приходится на США. Главные торговые партнеры США из стран ЕС — Германия и Великобритания. </w:t>
      </w:r>
      <w:proofErr w:type="gramStart"/>
      <w:r w:rsidRPr="008A3A60">
        <w:rPr>
          <w:sz w:val="28"/>
          <w:szCs w:val="28"/>
        </w:rPr>
        <w:t xml:space="preserve">Страны ЕС из Японии импортируют 4 группы товаров (транспортные средства, офисное </w:t>
      </w:r>
      <w:r w:rsidRPr="008A3A60">
        <w:rPr>
          <w:sz w:val="28"/>
          <w:szCs w:val="28"/>
        </w:rPr>
        <w:lastRenderedPageBreak/>
        <w:t xml:space="preserve">оборудование, электрооборудование, </w:t>
      </w:r>
      <w:r w:rsidRPr="008A3A60">
        <w:rPr>
          <w:sz w:val="28"/>
          <w:szCs w:val="28"/>
          <w:lang w:val="en-US"/>
        </w:rPr>
        <w:t>n</w:t>
      </w:r>
      <w:r w:rsidRPr="008A3A60">
        <w:rPr>
          <w:sz w:val="28"/>
          <w:szCs w:val="28"/>
        </w:rPr>
        <w:t>.</w:t>
      </w:r>
      <w:r w:rsidRPr="008A3A60">
        <w:rPr>
          <w:sz w:val="28"/>
          <w:szCs w:val="28"/>
          <w:lang w:val="en-US"/>
        </w:rPr>
        <w:t>e</w:t>
      </w:r>
      <w:r w:rsidRPr="008A3A60">
        <w:rPr>
          <w:sz w:val="28"/>
          <w:szCs w:val="28"/>
        </w:rPr>
        <w:t>.</w:t>
      </w:r>
      <w:r w:rsidRPr="008A3A60">
        <w:rPr>
          <w:sz w:val="28"/>
          <w:szCs w:val="28"/>
          <w:lang w:val="en-US"/>
        </w:rPr>
        <w:t>s</w:t>
      </w:r>
      <w:r w:rsidRPr="008A3A60">
        <w:rPr>
          <w:sz w:val="28"/>
          <w:szCs w:val="28"/>
        </w:rPr>
        <w:t>. (ранее нигде не классифицированное) и аудио- и телеаппаратура, которые составляют более 60% всего импорта стран ЕС из Японии.</w:t>
      </w:r>
      <w:proofErr w:type="gramEnd"/>
      <w:r w:rsidRPr="008A3A60">
        <w:rPr>
          <w:sz w:val="28"/>
          <w:szCs w:val="28"/>
        </w:rPr>
        <w:t xml:space="preserve"> Импорт транспортных средств составляет около 25% всего импорта стран ЕС из Японии и более 50% общего импорта транспортных средств. Экспо</w:t>
      </w:r>
      <w:proofErr w:type="gramStart"/>
      <w:r w:rsidRPr="008A3A60">
        <w:rPr>
          <w:sz w:val="28"/>
          <w:szCs w:val="28"/>
        </w:rPr>
        <w:t>рт стр</w:t>
      </w:r>
      <w:proofErr w:type="gramEnd"/>
      <w:r w:rsidRPr="008A3A60">
        <w:rPr>
          <w:sz w:val="28"/>
          <w:szCs w:val="28"/>
        </w:rPr>
        <w:t>ан ЕС в Японию менее однороден, чем импорт, и перечень экспортируемых товаров более широк. Так же как и в импорте, наиболее крупной группой товаров, экспортируемых в Японию из стран ЕС, являются транспортные средства. На них приходится около 1/6 общего экспорта из стран ЕС в Японию.  Кроме транспортных средств, наиболее крупными товарными группами в экспорте являются медицинское оборудование, фармацевтическая продукция и прочие промышленные товары.</w:t>
      </w:r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Главным торговым партнером Японии из стран ЕС является Германия, сохраняющая за собой около 1/3 всего импорта и экспорта ЕС в Японию.</w:t>
      </w:r>
    </w:p>
    <w:p w:rsidR="008A3A60" w:rsidRDefault="008A3A60" w:rsidP="00AA30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60">
        <w:rPr>
          <w:sz w:val="28"/>
          <w:szCs w:val="28"/>
        </w:rPr>
        <w:t>ЕС имеет хорошо налаженные двусторонние торговые отношения со</w:t>
      </w:r>
      <w:r w:rsidRPr="00FE0D60">
        <w:rPr>
          <w:b/>
          <w:bCs/>
          <w:sz w:val="28"/>
          <w:szCs w:val="28"/>
        </w:rPr>
        <w:t xml:space="preserve"> </w:t>
      </w:r>
      <w:r w:rsidRPr="00FE0D60">
        <w:rPr>
          <w:sz w:val="28"/>
          <w:szCs w:val="28"/>
        </w:rPr>
        <w:t>Швейцарией, основанные на существующем свободно-торговом соглашении 1972г. С 1994г. ЕС и Швейцария организовали переговоры, охватывающие широкий диапазон определенных секторов.</w:t>
      </w:r>
    </w:p>
    <w:p w:rsidR="00741B18" w:rsidRDefault="008A3A60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D60">
        <w:rPr>
          <w:sz w:val="28"/>
          <w:szCs w:val="28"/>
        </w:rPr>
        <w:t>Торговые отношения с Азией продолжают быть важным приоритетом. Экономические отношения</w:t>
      </w:r>
      <w:r w:rsidRPr="00FE0D60">
        <w:rPr>
          <w:b/>
          <w:bCs/>
          <w:sz w:val="28"/>
          <w:szCs w:val="28"/>
        </w:rPr>
        <w:t xml:space="preserve"> </w:t>
      </w:r>
      <w:r w:rsidRPr="00FE0D60">
        <w:rPr>
          <w:sz w:val="28"/>
          <w:szCs w:val="28"/>
        </w:rPr>
        <w:t>заседаний Азии-Европы (</w:t>
      </w:r>
      <w:r w:rsidRPr="00FE0D60">
        <w:rPr>
          <w:sz w:val="28"/>
          <w:szCs w:val="28"/>
          <w:lang w:val="en-US"/>
        </w:rPr>
        <w:t>ASEM</w:t>
      </w:r>
      <w:r w:rsidRPr="00FE0D60">
        <w:rPr>
          <w:sz w:val="28"/>
          <w:szCs w:val="28"/>
        </w:rPr>
        <w:t>), установленные в 1996г., связывает ЕС и 15 Государств - членов с Японией, Китаем, Кореей, Таиландом, Малайзией, Филиппинами, Сингапуром, Индонезией, Вьетнамом, и Брунеем в процессе диалога, нацеленном на облегчении торговли и улучшения инвестиций между всеми партнерами.</w:t>
      </w:r>
      <w:r w:rsidR="00A95A68" w:rsidRPr="00FE0D60">
        <w:rPr>
          <w:sz w:val="28"/>
          <w:szCs w:val="28"/>
        </w:rPr>
        <w:t xml:space="preserve"> В торговых условиях, азиатские партнеры </w:t>
      </w:r>
      <w:r w:rsidR="00A95A68" w:rsidRPr="00FE0D60">
        <w:rPr>
          <w:sz w:val="28"/>
          <w:szCs w:val="28"/>
          <w:lang w:val="en-US"/>
        </w:rPr>
        <w:t>ASEM</w:t>
      </w:r>
      <w:r w:rsidR="00A95A68" w:rsidRPr="00FE0D60">
        <w:rPr>
          <w:sz w:val="28"/>
          <w:szCs w:val="28"/>
        </w:rPr>
        <w:t xml:space="preserve"> обеспечивают приблизительно 26 % мирового экспорта в 2007г. с ЕС, являющимся их наибольшим партнером, и ЕС имеет второго по значимости импортёра.</w:t>
      </w:r>
    </w:p>
    <w:p w:rsidR="00A95A68" w:rsidRDefault="00A95A68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Важным зарубежным партнером Евросоюза выступает Россия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E0D60">
        <w:rPr>
          <w:rFonts w:cs="Times New Roman"/>
          <w:sz w:val="28"/>
          <w:szCs w:val="28"/>
        </w:rPr>
        <w:t>о</w:t>
      </w:r>
      <w:proofErr w:type="gramEnd"/>
      <w:r w:rsidRPr="00FE0D60">
        <w:rPr>
          <w:rFonts w:cs="Times New Roman"/>
          <w:sz w:val="28"/>
          <w:szCs w:val="28"/>
        </w:rPr>
        <w:t xml:space="preserve">сновные сферы приложения усилий как каждой из сторон, так и двусторонних на достаточно длительный срок. В их числе выработка новых совместных </w:t>
      </w:r>
      <w:r w:rsidRPr="00FE0D60">
        <w:rPr>
          <w:rFonts w:cs="Times New Roman"/>
          <w:sz w:val="28"/>
          <w:szCs w:val="28"/>
        </w:rPr>
        <w:lastRenderedPageBreak/>
        <w:t>программ энергетического сотрудничества, включающего поставки в Европу российского газа (треть общеевропейской потребности), нефти, электричества; новые проекты космического сотрудничества; система взаимных мер в области ядерной безопасности; иные научно-технические проекты, которые охватываются рамочным Соглашением о научно-техническом сотрудничестве между ЕС и Россией.</w:t>
      </w:r>
      <w:r>
        <w:rPr>
          <w:rFonts w:cs="Times New Roman"/>
          <w:sz w:val="28"/>
          <w:szCs w:val="28"/>
        </w:rPr>
        <w:t xml:space="preserve"> </w:t>
      </w:r>
      <w:r w:rsidRPr="00FE0D60">
        <w:rPr>
          <w:rFonts w:cs="Times New Roman"/>
          <w:sz w:val="28"/>
          <w:szCs w:val="28"/>
        </w:rPr>
        <w:t>Евросоюз является основным рынком сбыта для российского экспорта, а также крупнейшим поставщиком импортных товаров в Россию. Наиболее важными торговыми партнерами России в Евросоюзе являются Германия  и Италия</w:t>
      </w:r>
      <w:proofErr w:type="gramStart"/>
      <w:r w:rsidRPr="00FE0D60">
        <w:rPr>
          <w:rFonts w:cs="Times New Roman"/>
          <w:sz w:val="28"/>
          <w:szCs w:val="28"/>
        </w:rPr>
        <w:t xml:space="preserve"> Н</w:t>
      </w:r>
      <w:proofErr w:type="gramEnd"/>
      <w:r w:rsidRPr="00FE0D60">
        <w:rPr>
          <w:rFonts w:cs="Times New Roman"/>
          <w:sz w:val="28"/>
          <w:szCs w:val="28"/>
        </w:rPr>
        <w:t>а эти две страны приходится около 40% российского экспорта в Европу и из них поступает 30% европейского импорта.</w:t>
      </w:r>
      <w:r>
        <w:rPr>
          <w:rFonts w:cs="Times New Roman"/>
          <w:sz w:val="28"/>
          <w:szCs w:val="28"/>
        </w:rPr>
        <w:t xml:space="preserve"> </w:t>
      </w:r>
      <w:r w:rsidRPr="00FE0D60">
        <w:rPr>
          <w:rFonts w:cs="Times New Roman"/>
          <w:sz w:val="28"/>
          <w:szCs w:val="28"/>
        </w:rPr>
        <w:t>Россия является пятым крупнейшим торговым партнером EC</w:t>
      </w:r>
      <w:r>
        <w:rPr>
          <w:rFonts w:cs="Times New Roman"/>
          <w:sz w:val="28"/>
          <w:szCs w:val="28"/>
        </w:rPr>
        <w:t xml:space="preserve">. </w:t>
      </w:r>
    </w:p>
    <w:p w:rsidR="007232F0" w:rsidRDefault="001406A4" w:rsidP="00AA30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</w:t>
      </w:r>
      <w:r w:rsidR="00CE71DB">
        <w:rPr>
          <w:rFonts w:cs="Times New Roman"/>
          <w:sz w:val="28"/>
          <w:szCs w:val="28"/>
        </w:rPr>
        <w:t>рисунке</w:t>
      </w:r>
      <w:r>
        <w:rPr>
          <w:rFonts w:cs="Times New Roman"/>
          <w:sz w:val="28"/>
          <w:szCs w:val="28"/>
        </w:rPr>
        <w:t xml:space="preserve"> 17 изображена динамика платежного баланса ведущих экономик мира. </w:t>
      </w:r>
    </w:p>
    <w:p w:rsidR="001406A4" w:rsidRPr="007232F0" w:rsidRDefault="001406A4" w:rsidP="00AA305F">
      <w:pPr>
        <w:spacing w:line="360" w:lineRule="auto"/>
        <w:ind w:firstLine="709"/>
        <w:rPr>
          <w:sz w:val="28"/>
          <w:szCs w:val="28"/>
        </w:rPr>
      </w:pPr>
      <w:r w:rsidRPr="001406A4">
        <w:rPr>
          <w:noProof/>
          <w:sz w:val="28"/>
          <w:szCs w:val="28"/>
          <w:lang w:eastAsia="ru-RU"/>
        </w:rPr>
        <w:drawing>
          <wp:inline distT="0" distB="0" distL="0" distR="0">
            <wp:extent cx="5419725" cy="2962275"/>
            <wp:effectExtent l="19050" t="0" r="9525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232F0" w:rsidRDefault="00CE71DB" w:rsidP="00AA305F">
      <w:pPr>
        <w:pStyle w:val="a6"/>
        <w:spacing w:line="360" w:lineRule="auto"/>
        <w:ind w:firstLine="709"/>
      </w:pPr>
      <w:r>
        <w:t>Рисунок</w:t>
      </w:r>
      <w:r w:rsidR="001406A4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7</w:t>
      </w:r>
      <w:r w:rsidR="00DC3B99">
        <w:rPr>
          <w:noProof/>
        </w:rPr>
        <w:fldChar w:fldCharType="end"/>
      </w:r>
    </w:p>
    <w:p w:rsidR="00CE71DB" w:rsidRPr="00CE71DB" w:rsidRDefault="00CE71DB" w:rsidP="00CE71D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CE71DB">
        <w:rPr>
          <w:rFonts w:cs="Times New Roman"/>
          <w:b/>
          <w:sz w:val="28"/>
          <w:szCs w:val="28"/>
        </w:rPr>
        <w:t>Платежный баланс (</w:t>
      </w:r>
      <w:proofErr w:type="gramStart"/>
      <w:r w:rsidRPr="00CE71DB">
        <w:rPr>
          <w:rFonts w:cs="Times New Roman"/>
          <w:b/>
          <w:sz w:val="28"/>
          <w:szCs w:val="28"/>
        </w:rPr>
        <w:t>млн</w:t>
      </w:r>
      <w:proofErr w:type="gramEnd"/>
      <w:r w:rsidRPr="00CE71DB">
        <w:rPr>
          <w:rFonts w:cs="Times New Roman"/>
          <w:b/>
          <w:sz w:val="28"/>
          <w:szCs w:val="28"/>
        </w:rPr>
        <w:t xml:space="preserve"> евро)</w:t>
      </w:r>
    </w:p>
    <w:p w:rsidR="00CE71DB" w:rsidRDefault="00CE71DB" w:rsidP="00CE71DB"/>
    <w:p w:rsidR="00CE71DB" w:rsidRDefault="00CE71DB" w:rsidP="00CE71DB"/>
    <w:p w:rsidR="004C4DF9" w:rsidRPr="00CE71DB" w:rsidRDefault="004C4DF9" w:rsidP="00CE71DB"/>
    <w:p w:rsidR="00107253" w:rsidRPr="00EF0CD6" w:rsidRDefault="00107253" w:rsidP="00AA305F">
      <w:pPr>
        <w:spacing w:line="360" w:lineRule="auto"/>
        <w:ind w:firstLine="709"/>
        <w:jc w:val="center"/>
        <w:rPr>
          <w:sz w:val="32"/>
          <w:szCs w:val="32"/>
        </w:rPr>
      </w:pPr>
      <w:r w:rsidRPr="00EF0CD6">
        <w:rPr>
          <w:b/>
          <w:sz w:val="32"/>
          <w:szCs w:val="32"/>
        </w:rPr>
        <w:lastRenderedPageBreak/>
        <w:t>Долговой кризис Европейского союза</w:t>
      </w:r>
      <w:r w:rsidRPr="00EF0CD6">
        <w:rPr>
          <w:sz w:val="32"/>
          <w:szCs w:val="32"/>
        </w:rPr>
        <w:t>.</w:t>
      </w:r>
    </w:p>
    <w:p w:rsidR="00434AB2" w:rsidRDefault="00107253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государственного бюджета является одной из ключевых проблем современной экономики Европейского Союза. </w:t>
      </w:r>
      <w:r w:rsidR="00434AB2">
        <w:rPr>
          <w:sz w:val="28"/>
          <w:szCs w:val="28"/>
        </w:rPr>
        <w:t>К</w:t>
      </w:r>
      <w:r w:rsidR="00434AB2" w:rsidRPr="00434AB2">
        <w:rPr>
          <w:sz w:val="28"/>
          <w:szCs w:val="28"/>
        </w:rPr>
        <w:t>ризис суверенного д</w:t>
      </w:r>
      <w:r w:rsidR="00434AB2">
        <w:rPr>
          <w:sz w:val="28"/>
          <w:szCs w:val="28"/>
        </w:rPr>
        <w:t>олга в ряде европейских стран охватил</w:t>
      </w:r>
      <w:r w:rsidR="00434AB2" w:rsidRPr="00434AB2">
        <w:rPr>
          <w:sz w:val="28"/>
          <w:szCs w:val="28"/>
        </w:rPr>
        <w:t xml:space="preserve"> в 2010 году сначала периферийные стран</w:t>
      </w:r>
      <w:r w:rsidR="00434AB2">
        <w:rPr>
          <w:sz w:val="28"/>
          <w:szCs w:val="28"/>
        </w:rPr>
        <w:t xml:space="preserve">ы Евросоюза (Греция, Ирландия), а затем </w:t>
      </w:r>
      <w:r w:rsidR="00434AB2" w:rsidRPr="00434AB2">
        <w:rPr>
          <w:sz w:val="28"/>
          <w:szCs w:val="28"/>
        </w:rPr>
        <w:t>практически всю зону евро</w:t>
      </w:r>
      <w:r w:rsidR="00434AB2">
        <w:rPr>
          <w:sz w:val="28"/>
          <w:szCs w:val="28"/>
        </w:rPr>
        <w:t xml:space="preserve">. </w:t>
      </w:r>
      <w:r w:rsidR="00434AB2" w:rsidRPr="00434AB2">
        <w:rPr>
          <w:sz w:val="28"/>
          <w:szCs w:val="28"/>
        </w:rPr>
        <w:t>Источником кризиса называют кризис рынка гособли</w:t>
      </w:r>
      <w:r w:rsidR="00434AB2">
        <w:rPr>
          <w:sz w:val="28"/>
          <w:szCs w:val="28"/>
        </w:rPr>
        <w:t xml:space="preserve">гаций в Греции осенью 2009 года, однако это скорее было критической точкой, действительная причина – это долгосрочная высокая несбалансированность государственного бюджета. </w:t>
      </w:r>
    </w:p>
    <w:p w:rsidR="00434AB2" w:rsidRDefault="00434AB2" w:rsidP="00AA305F">
      <w:pPr>
        <w:keepNext/>
        <w:spacing w:line="360" w:lineRule="auto"/>
        <w:ind w:firstLine="709"/>
        <w:jc w:val="center"/>
      </w:pPr>
      <w:r w:rsidRPr="00434AB2">
        <w:rPr>
          <w:noProof/>
          <w:sz w:val="28"/>
          <w:szCs w:val="28"/>
          <w:lang w:eastAsia="ru-RU"/>
        </w:rPr>
        <w:drawing>
          <wp:inline distT="0" distB="0" distL="0" distR="0">
            <wp:extent cx="5514975" cy="3276600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34AB2" w:rsidRDefault="00CE71DB" w:rsidP="00AA305F">
      <w:pPr>
        <w:pStyle w:val="a6"/>
        <w:spacing w:line="360" w:lineRule="auto"/>
        <w:ind w:firstLine="709"/>
      </w:pPr>
      <w:r>
        <w:t>Рисунок</w:t>
      </w:r>
      <w:r w:rsidR="00434AB2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8</w:t>
      </w:r>
      <w:r w:rsidR="00DC3B99">
        <w:rPr>
          <w:noProof/>
        </w:rPr>
        <w:fldChar w:fldCharType="end"/>
      </w:r>
    </w:p>
    <w:p w:rsidR="00CE71DB" w:rsidRPr="00EF0CD6" w:rsidRDefault="00CE71DB" w:rsidP="00CE71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0CD6">
        <w:rPr>
          <w:b/>
          <w:sz w:val="28"/>
          <w:szCs w:val="28"/>
        </w:rPr>
        <w:t>Дефицит госбюджета некоторых членов ЕС (% к ВВП)</w:t>
      </w:r>
    </w:p>
    <w:p w:rsidR="00CE71DB" w:rsidRPr="00CE71DB" w:rsidRDefault="00CE71DB" w:rsidP="00CE71DB"/>
    <w:p w:rsidR="00C33842" w:rsidRDefault="00CB4D91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бюджет стран Евросоюза являлся несбалансированным с конца 70х годов, с тех пор его абсолютное выражение, возрастало практически с каждым годом. Однако высокие темпы экономического роста в отдельные периоды приводили к тому, что его доля по отношению к ВВП уменьшалась. Позитивные изменения произошли в конце 1990х годов, когда </w:t>
      </w:r>
      <w:r>
        <w:rPr>
          <w:sz w:val="28"/>
          <w:szCs w:val="28"/>
        </w:rPr>
        <w:lastRenderedPageBreak/>
        <w:t xml:space="preserve">большинству Европейских государств удалось добиться профицита бюджета. Большую роль в сокращении дефицита бюджета стран кандидатов на 5ое расширение ЕС сыграл </w:t>
      </w:r>
      <w:proofErr w:type="spellStart"/>
      <w:r>
        <w:rPr>
          <w:sz w:val="28"/>
          <w:szCs w:val="28"/>
        </w:rPr>
        <w:t>Маахстрикский</w:t>
      </w:r>
      <w:proofErr w:type="spellEnd"/>
      <w:r>
        <w:rPr>
          <w:sz w:val="28"/>
          <w:szCs w:val="28"/>
        </w:rPr>
        <w:t xml:space="preserve"> критерий, согласно которому д</w:t>
      </w:r>
      <w:r w:rsidRPr="00CB4D91">
        <w:rPr>
          <w:sz w:val="28"/>
          <w:szCs w:val="28"/>
        </w:rPr>
        <w:t xml:space="preserve">ефицит правительственного сектора бюджета </w:t>
      </w:r>
      <w:r>
        <w:rPr>
          <w:sz w:val="28"/>
          <w:szCs w:val="28"/>
        </w:rPr>
        <w:t>государств, кандидатов на вступление, должен быть менее 3 % от ВВП, д</w:t>
      </w:r>
      <w:r w:rsidRPr="00CB4D91">
        <w:rPr>
          <w:sz w:val="28"/>
          <w:szCs w:val="28"/>
        </w:rPr>
        <w:t>олг правительственного сектора должен быть менее 60 % от ВВП или приближаться к этому умеренным темпом.</w:t>
      </w:r>
      <w:r>
        <w:rPr>
          <w:sz w:val="28"/>
          <w:szCs w:val="28"/>
        </w:rPr>
        <w:t xml:space="preserve"> Однако позже на протяжении всего первого десятилетия 2000х годов дефицит бюджета стал нарастать </w:t>
      </w:r>
      <w:r w:rsidR="00C33842">
        <w:rPr>
          <w:sz w:val="28"/>
          <w:szCs w:val="28"/>
        </w:rPr>
        <w:t xml:space="preserve">ускоренными темпами, причем не только в абсолютном выражении, но также намного опережая темпы экономического роста в относительном выражении к объему ВВП. </w:t>
      </w:r>
    </w:p>
    <w:p w:rsidR="00663A70" w:rsidRDefault="00C33842" w:rsidP="00AA305F">
      <w:pPr>
        <w:keepNext/>
        <w:spacing w:line="360" w:lineRule="auto"/>
        <w:ind w:firstLine="709"/>
        <w:jc w:val="center"/>
      </w:pPr>
      <w:r w:rsidRPr="00C33842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3371850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33842" w:rsidRDefault="00CE71DB" w:rsidP="00AA305F">
      <w:pPr>
        <w:pStyle w:val="a6"/>
        <w:spacing w:line="360" w:lineRule="auto"/>
        <w:ind w:firstLine="709"/>
      </w:pPr>
      <w:r>
        <w:t>Рисунок</w:t>
      </w:r>
      <w:r w:rsidR="00663A70">
        <w:t xml:space="preserve"> </w:t>
      </w:r>
      <w:r w:rsidR="00DC3B99">
        <w:fldChar w:fldCharType="begin"/>
      </w:r>
      <w:r w:rsidR="00DC3B99">
        <w:instrText xml:space="preserve"> SEQ График \* ARABIC </w:instrText>
      </w:r>
      <w:r w:rsidR="00DC3B99">
        <w:fldChar w:fldCharType="separate"/>
      </w:r>
      <w:r w:rsidR="005D4C10">
        <w:rPr>
          <w:noProof/>
        </w:rPr>
        <w:t>9</w:t>
      </w:r>
      <w:r w:rsidR="00DC3B99">
        <w:rPr>
          <w:noProof/>
        </w:rPr>
        <w:fldChar w:fldCharType="end"/>
      </w:r>
    </w:p>
    <w:p w:rsidR="00CE71DB" w:rsidRPr="00CE71DB" w:rsidRDefault="00CE71DB" w:rsidP="00CE71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3A70">
        <w:rPr>
          <w:b/>
          <w:sz w:val="28"/>
          <w:szCs w:val="28"/>
        </w:rPr>
        <w:t>Государственный долг некоторых членов ЕС (% к ВВП)</w:t>
      </w:r>
    </w:p>
    <w:p w:rsidR="00CE71DB" w:rsidRDefault="00CE71DB" w:rsidP="00AA305F">
      <w:pPr>
        <w:spacing w:line="360" w:lineRule="auto"/>
        <w:ind w:firstLine="709"/>
        <w:jc w:val="both"/>
        <w:rPr>
          <w:sz w:val="28"/>
          <w:szCs w:val="28"/>
        </w:rPr>
      </w:pPr>
    </w:p>
    <w:p w:rsidR="00C33842" w:rsidRPr="00C33842" w:rsidRDefault="00C33842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C33842">
        <w:rPr>
          <w:sz w:val="28"/>
          <w:szCs w:val="28"/>
        </w:rPr>
        <w:t>Во второй половине 2009 года среди инвесторов начало распространяться беспокойство относительно кризиса государственных заимствований (англ.</w:t>
      </w:r>
      <w:proofErr w:type="gramStart"/>
      <w:r w:rsidRPr="00C33842">
        <w:rPr>
          <w:sz w:val="28"/>
          <w:szCs w:val="28"/>
        </w:rPr>
        <w:t>)р</w:t>
      </w:r>
      <w:proofErr w:type="gramEnd"/>
      <w:r w:rsidRPr="00C33842">
        <w:rPr>
          <w:sz w:val="28"/>
          <w:szCs w:val="28"/>
        </w:rPr>
        <w:t>усск. ряда европейских стран. Его значительный рост к началу 2010 года всё более затруднял рефинансирование греческих, ирландских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португальских задолженностей</w:t>
      </w:r>
      <w:r w:rsidRPr="00C33842">
        <w:rPr>
          <w:sz w:val="28"/>
          <w:szCs w:val="28"/>
        </w:rPr>
        <w:t xml:space="preserve">. Указанные кризисные явления </w:t>
      </w:r>
      <w:proofErr w:type="gramStart"/>
      <w:r w:rsidRPr="00C33842">
        <w:rPr>
          <w:sz w:val="28"/>
          <w:szCs w:val="28"/>
        </w:rPr>
        <w:t>сперва</w:t>
      </w:r>
      <w:proofErr w:type="gramEnd"/>
      <w:r w:rsidRPr="00C33842">
        <w:rPr>
          <w:sz w:val="28"/>
          <w:szCs w:val="28"/>
        </w:rPr>
        <w:t xml:space="preserve"> распространились среди таких стран еврозоны как Греция, Ирландия, Италия, Испания и Португалия, а потом перекинулись и на другие страны ЕС, в том числе находящиеся вне зоны обращения евро. Исландия, пережившая очень глубокий кризис в 2008 году, в ходе которого подверглась коллапсу вся банковская система страны, на этот раз пострадала от кризиса в меньшей степени, отчасти благодаря решению не выплач</w:t>
      </w:r>
      <w:r>
        <w:rPr>
          <w:sz w:val="28"/>
          <w:szCs w:val="28"/>
        </w:rPr>
        <w:t xml:space="preserve">ивать долги иностранным банкам. </w:t>
      </w:r>
      <w:r w:rsidRPr="00C33842">
        <w:rPr>
          <w:sz w:val="28"/>
          <w:szCs w:val="28"/>
        </w:rPr>
        <w:t xml:space="preserve">Это непростое решение было принято в ходе национального референдума. </w:t>
      </w:r>
      <w:r>
        <w:rPr>
          <w:sz w:val="28"/>
          <w:szCs w:val="28"/>
        </w:rPr>
        <w:t xml:space="preserve">В целом кризис государственного долга был во многом катализирован международным финансовым и экономическим кризисом 2008 года. </w:t>
      </w:r>
      <w:r w:rsidRPr="00C33842">
        <w:rPr>
          <w:sz w:val="28"/>
          <w:szCs w:val="28"/>
        </w:rPr>
        <w:t>В странах, входящих в ЕС, особенно в тех, что по примеру США проводили массивные вливания в банковскую систему для её спасения, стремительно росла долговая нагрузка на государственные финансы. Именно затруднения госуда</w:t>
      </w:r>
      <w:proofErr w:type="gramStart"/>
      <w:r w:rsidRPr="00C33842">
        <w:rPr>
          <w:sz w:val="28"/>
          <w:szCs w:val="28"/>
        </w:rPr>
        <w:t>рств св</w:t>
      </w:r>
      <w:proofErr w:type="gramEnd"/>
      <w:r w:rsidRPr="00C33842">
        <w:rPr>
          <w:sz w:val="28"/>
          <w:szCs w:val="28"/>
        </w:rPr>
        <w:t xml:space="preserve">оевременно выплачивать проценты кредитов без дальнейших, всё возрастающих заимствований привели к росту разрыва в доходности по облигациям  между </w:t>
      </w:r>
      <w:r>
        <w:rPr>
          <w:sz w:val="28"/>
          <w:szCs w:val="28"/>
        </w:rPr>
        <w:t xml:space="preserve">проблемными странами </w:t>
      </w:r>
      <w:r w:rsidRPr="00C33842">
        <w:rPr>
          <w:sz w:val="28"/>
          <w:szCs w:val="28"/>
        </w:rPr>
        <w:t xml:space="preserve">и другими членами ЕС, в первую очередь по сравнению с </w:t>
      </w:r>
      <w:r>
        <w:rPr>
          <w:sz w:val="28"/>
          <w:szCs w:val="28"/>
        </w:rPr>
        <w:t>эталоном надёжности — Германией.</w:t>
      </w:r>
    </w:p>
    <w:p w:rsidR="00C33842" w:rsidRDefault="00C33842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C33842">
        <w:rPr>
          <w:sz w:val="28"/>
          <w:szCs w:val="28"/>
        </w:rPr>
        <w:t xml:space="preserve">Панику среди инвесторов вызвало массовое снижение рейтингов стран ЕС. 9 мая 2010 года Совет министров финансов ЕС постановил сформировать специализированного резервного фонда размером (изначально) в 750 </w:t>
      </w:r>
      <w:proofErr w:type="gramStart"/>
      <w:r w:rsidRPr="00C33842">
        <w:rPr>
          <w:sz w:val="28"/>
          <w:szCs w:val="28"/>
        </w:rPr>
        <w:t>млрд</w:t>
      </w:r>
      <w:proofErr w:type="gramEnd"/>
      <w:r w:rsidRPr="00C33842">
        <w:rPr>
          <w:sz w:val="28"/>
          <w:szCs w:val="28"/>
        </w:rPr>
        <w:t xml:space="preserve"> евро, основной целью которого является обеспечение финансовой стабильности на европейском континенте — Европейский фонд фина</w:t>
      </w:r>
      <w:r>
        <w:rPr>
          <w:sz w:val="28"/>
          <w:szCs w:val="28"/>
        </w:rPr>
        <w:t>нсовой стабильности (EFSF).</w:t>
      </w:r>
    </w:p>
    <w:p w:rsidR="00107253" w:rsidRDefault="00C33842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C33842">
        <w:rPr>
          <w:sz w:val="28"/>
          <w:szCs w:val="28"/>
        </w:rPr>
        <w:t xml:space="preserve">2 мая 2010 года страны еврозоны и Международный валютный фонд договорились о 110-миллиардном кредите для Греции, который должен сопровождаться очень жёсткими мерами экономии. Сразу же после этого был предоставлен 85-миллиардный пакет для Ирландии и 78-миллиардный план по выкупу государственных долговых бумаг Португалии. Все эти шаги имели </w:t>
      </w:r>
      <w:r w:rsidRPr="00C33842">
        <w:rPr>
          <w:sz w:val="28"/>
          <w:szCs w:val="28"/>
        </w:rPr>
        <w:lastRenderedPageBreak/>
        <w:t>своей целью остановить распространение кризиса, начавшегося в Греции и распространявшегося по всему континенту.</w:t>
      </w:r>
      <w:r w:rsidR="00CB4D91">
        <w:rPr>
          <w:sz w:val="28"/>
          <w:szCs w:val="28"/>
        </w:rPr>
        <w:t xml:space="preserve"> </w:t>
      </w:r>
    </w:p>
    <w:p w:rsidR="00C33842" w:rsidRDefault="00C33842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C33842">
        <w:rPr>
          <w:sz w:val="28"/>
          <w:szCs w:val="28"/>
        </w:rPr>
        <w:t>Несмотря на принимаемые меры, проблемы нескольких стран участниц превращались в си</w:t>
      </w:r>
      <w:r w:rsidR="00663A70">
        <w:rPr>
          <w:sz w:val="28"/>
          <w:szCs w:val="28"/>
        </w:rPr>
        <w:t>стемный кризис всей еврозоны</w:t>
      </w:r>
      <w:r w:rsidRPr="00C33842">
        <w:rPr>
          <w:sz w:val="28"/>
          <w:szCs w:val="28"/>
        </w:rPr>
        <w:t>. В мае 2011 греческий государственный долг оказался</w:t>
      </w:r>
      <w:r w:rsidR="00663A70">
        <w:rPr>
          <w:sz w:val="28"/>
          <w:szCs w:val="28"/>
        </w:rPr>
        <w:t xml:space="preserve"> в центре внимания всего мира</w:t>
      </w:r>
      <w:r w:rsidRPr="00C33842">
        <w:rPr>
          <w:sz w:val="28"/>
          <w:szCs w:val="28"/>
        </w:rPr>
        <w:t>. Греческое общество в подавляющем большинстве отвергало любые предложения, направленные на экономию государственных средств, выражая своё недовольство забастовками и уличными акциями протеста, переходившими в беспорядки. В конце июня 2011 греческое правительство направило в парламент законопроекты, предусматривающие экономию бюджетных сре</w:t>
      </w:r>
      <w:proofErr w:type="gramStart"/>
      <w:r w:rsidRPr="00C33842">
        <w:rPr>
          <w:sz w:val="28"/>
          <w:szCs w:val="28"/>
        </w:rPr>
        <w:t>дств в р</w:t>
      </w:r>
      <w:proofErr w:type="gramEnd"/>
      <w:r w:rsidRPr="00C33842">
        <w:rPr>
          <w:sz w:val="28"/>
          <w:szCs w:val="28"/>
        </w:rPr>
        <w:t>азмере 28 миллиардов евро в течение следующих 5 лет. В случае принятия предложенных изменений грекам обещали предоставить 12 миллиардов евро из общеевропейского фонда. Без указанного денежного вливания правительство Греции было бы вынуждено объявить о банкротстве у</w:t>
      </w:r>
      <w:r w:rsidR="00663A70">
        <w:rPr>
          <w:sz w:val="28"/>
          <w:szCs w:val="28"/>
        </w:rPr>
        <w:t>же в середине июля 2011 года</w:t>
      </w:r>
      <w:r w:rsidRPr="00C33842">
        <w:rPr>
          <w:sz w:val="28"/>
          <w:szCs w:val="28"/>
        </w:rPr>
        <w:t>. Вместе усилия по выходу из кризиса были восприняты неоднозначно. Так, греческая оппозиция восприняла действия немецкого канцлера Ме</w:t>
      </w:r>
      <w:r w:rsidR="00663A70">
        <w:rPr>
          <w:sz w:val="28"/>
          <w:szCs w:val="28"/>
        </w:rPr>
        <w:t>ркель как фашистские</w:t>
      </w:r>
      <w:r w:rsidRPr="00C33842">
        <w:rPr>
          <w:sz w:val="28"/>
          <w:szCs w:val="28"/>
        </w:rPr>
        <w:t>. Та же Меркель сообщила (17 ноября), что одни кредиты ЕЦБ не способны разрешить кризис, не</w:t>
      </w:r>
      <w:r w:rsidR="00663A70">
        <w:rPr>
          <w:sz w:val="28"/>
          <w:szCs w:val="28"/>
        </w:rPr>
        <w:t xml:space="preserve">обходима и политическая воля.  </w:t>
      </w:r>
      <w:r w:rsidRPr="00C33842">
        <w:rPr>
          <w:sz w:val="28"/>
          <w:szCs w:val="28"/>
        </w:rPr>
        <w:t xml:space="preserve">В конце октября 2011 года на саммите ЕС лидеры стран-участниц еврозоны одобрили пакет мер, которые должны остановить неудержимый рост государственных долгов. Были приняты решения о списании 50 % долгов Греции, увеличении EFSF до €1 </w:t>
      </w:r>
      <w:proofErr w:type="gramStart"/>
      <w:r w:rsidRPr="00C33842">
        <w:rPr>
          <w:sz w:val="28"/>
          <w:szCs w:val="28"/>
        </w:rPr>
        <w:t>трлн</w:t>
      </w:r>
      <w:proofErr w:type="gramEnd"/>
      <w:r w:rsidRPr="00C33842">
        <w:rPr>
          <w:sz w:val="28"/>
          <w:szCs w:val="28"/>
        </w:rPr>
        <w:t xml:space="preserve"> и доведении минимального порога собственного капита</w:t>
      </w:r>
      <w:r w:rsidR="00663A70">
        <w:rPr>
          <w:sz w:val="28"/>
          <w:szCs w:val="28"/>
        </w:rPr>
        <w:t>ла европейских банков до 9 %</w:t>
      </w:r>
      <w:r w:rsidRPr="00C33842">
        <w:rPr>
          <w:sz w:val="28"/>
          <w:szCs w:val="28"/>
        </w:rPr>
        <w:t>.</w:t>
      </w:r>
    </w:p>
    <w:p w:rsidR="00663A70" w:rsidRDefault="00663A70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663A70">
        <w:rPr>
          <w:sz w:val="28"/>
          <w:szCs w:val="28"/>
        </w:rPr>
        <w:t xml:space="preserve">В феврале </w:t>
      </w:r>
      <w:r>
        <w:rPr>
          <w:sz w:val="28"/>
          <w:szCs w:val="28"/>
        </w:rPr>
        <w:t xml:space="preserve">2012 года </w:t>
      </w:r>
      <w:r w:rsidRPr="00663A70">
        <w:rPr>
          <w:sz w:val="28"/>
          <w:szCs w:val="28"/>
        </w:rPr>
        <w:t>рейтинговые агентства понизили рейтинги многих европейских стран и финансовых организаций, однако реакция рынков на данную информацию была не явной</w:t>
      </w:r>
      <w:r>
        <w:rPr>
          <w:sz w:val="28"/>
          <w:szCs w:val="28"/>
        </w:rPr>
        <w:t xml:space="preserve">. </w:t>
      </w:r>
      <w:r w:rsidRPr="00663A70">
        <w:rPr>
          <w:sz w:val="28"/>
          <w:szCs w:val="28"/>
        </w:rPr>
        <w:t xml:space="preserve">Международное рейтинговое агентство </w:t>
      </w:r>
      <w:proofErr w:type="spellStart"/>
      <w:r w:rsidRPr="00663A70">
        <w:rPr>
          <w:sz w:val="28"/>
          <w:szCs w:val="28"/>
        </w:rPr>
        <w:t>Fitch</w:t>
      </w:r>
      <w:proofErr w:type="spellEnd"/>
      <w:r w:rsidRPr="00663A70">
        <w:rPr>
          <w:sz w:val="28"/>
          <w:szCs w:val="28"/>
        </w:rPr>
        <w:t xml:space="preserve"> </w:t>
      </w:r>
      <w:proofErr w:type="spellStart"/>
      <w:r w:rsidRPr="00663A70">
        <w:rPr>
          <w:sz w:val="28"/>
          <w:szCs w:val="28"/>
        </w:rPr>
        <w:t>Ratings</w:t>
      </w:r>
      <w:proofErr w:type="spellEnd"/>
      <w:r w:rsidRPr="00663A70">
        <w:rPr>
          <w:sz w:val="28"/>
          <w:szCs w:val="28"/>
        </w:rPr>
        <w:t xml:space="preserve"> полагает, что Греция в конечном итоге объявит дефолт. Об этом сообщил эксперт агентства Эдвард Паркер на конференции в Стокгольме.</w:t>
      </w:r>
      <w:r>
        <w:rPr>
          <w:sz w:val="28"/>
          <w:szCs w:val="28"/>
        </w:rPr>
        <w:t xml:space="preserve"> </w:t>
      </w:r>
    </w:p>
    <w:p w:rsidR="00663A70" w:rsidRDefault="00663A70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63A70">
        <w:rPr>
          <w:i/>
          <w:sz w:val="28"/>
          <w:szCs w:val="28"/>
        </w:rPr>
        <w:t>Это все равно случится. Греция — несостоятельный должник, она неплатежеспособна и объявит дефолт. Это не должно стать сюрпризом</w:t>
      </w:r>
      <w:r>
        <w:rPr>
          <w:sz w:val="28"/>
          <w:szCs w:val="28"/>
        </w:rPr>
        <w:t xml:space="preserve">», — пояснил </w:t>
      </w:r>
      <w:proofErr w:type="gramStart"/>
      <w:r>
        <w:rPr>
          <w:sz w:val="28"/>
          <w:szCs w:val="28"/>
        </w:rPr>
        <w:t>он</w:t>
      </w:r>
      <w:proofErr w:type="gramEnd"/>
      <w:r w:rsidRPr="00663A70">
        <w:rPr>
          <w:sz w:val="28"/>
          <w:szCs w:val="28"/>
        </w:rPr>
        <w:t xml:space="preserve"> уточнив, что речь будет идти, скорее всего, о контролируе</w:t>
      </w:r>
      <w:r>
        <w:rPr>
          <w:sz w:val="28"/>
          <w:szCs w:val="28"/>
        </w:rPr>
        <w:t xml:space="preserve">мом дефолте. </w:t>
      </w:r>
    </w:p>
    <w:p w:rsidR="00F35829" w:rsidRPr="00C33842" w:rsidRDefault="00F35829" w:rsidP="00AA305F">
      <w:pPr>
        <w:spacing w:line="360" w:lineRule="auto"/>
        <w:ind w:firstLine="709"/>
        <w:jc w:val="both"/>
        <w:rPr>
          <w:sz w:val="28"/>
          <w:szCs w:val="28"/>
        </w:rPr>
      </w:pPr>
      <w:r w:rsidRPr="00F35829">
        <w:rPr>
          <w:sz w:val="28"/>
          <w:szCs w:val="28"/>
        </w:rPr>
        <w:t>21 февраля после длительных (тринадцатичасовых) и сложных консультаций сторон</w:t>
      </w:r>
      <w:r>
        <w:rPr>
          <w:sz w:val="28"/>
          <w:szCs w:val="28"/>
        </w:rPr>
        <w:t xml:space="preserve">ы (частные кредиторы, Греция, </w:t>
      </w:r>
      <w:r w:rsidRPr="00F35829">
        <w:rPr>
          <w:sz w:val="28"/>
          <w:szCs w:val="28"/>
        </w:rPr>
        <w:t>Еврокомиссия, МВФ и ЕЦБ) пришли к соглашению о реструктуризации греческих долгов. Оно подразумевает выделение второго пакета помощи на 130 млрд. евро и обмен облигаций, находящихся у частных инвесторов</w:t>
      </w:r>
      <w:proofErr w:type="gramStart"/>
      <w:r>
        <w:rPr>
          <w:sz w:val="28"/>
          <w:szCs w:val="28"/>
        </w:rPr>
        <w:t xml:space="preserve"> </w:t>
      </w:r>
      <w:r w:rsidRPr="00F35829">
        <w:rPr>
          <w:sz w:val="28"/>
          <w:szCs w:val="28"/>
        </w:rPr>
        <w:t>,</w:t>
      </w:r>
      <w:proofErr w:type="gramEnd"/>
      <w:r w:rsidRPr="00F35829">
        <w:rPr>
          <w:sz w:val="28"/>
          <w:szCs w:val="28"/>
        </w:rPr>
        <w:t xml:space="preserve"> на 30-летние с меньшей купонной доходностью, совмещённый с добровольным частичным </w:t>
      </w:r>
      <w:r>
        <w:rPr>
          <w:sz w:val="28"/>
          <w:szCs w:val="28"/>
        </w:rPr>
        <w:t>списанием около половины долга.</w:t>
      </w:r>
      <w:r w:rsidRPr="00F35829">
        <w:rPr>
          <w:sz w:val="28"/>
          <w:szCs w:val="28"/>
        </w:rPr>
        <w:t xml:space="preserve"> 23 февраля сделку одобрил греческий парлам</w:t>
      </w:r>
      <w:r>
        <w:rPr>
          <w:sz w:val="28"/>
          <w:szCs w:val="28"/>
        </w:rPr>
        <w:t>ент, а 28-го — немецкий.</w:t>
      </w:r>
      <w:r w:rsidRPr="00F35829">
        <w:rPr>
          <w:sz w:val="28"/>
          <w:szCs w:val="28"/>
        </w:rPr>
        <w:t xml:space="preserve"> Потери частных владельцев облигаций составят 53 % их номинальной стоимости или более </w:t>
      </w:r>
      <w:r>
        <w:rPr>
          <w:sz w:val="28"/>
          <w:szCs w:val="28"/>
        </w:rPr>
        <w:t>70 % общего будущего дохода.</w:t>
      </w:r>
      <w:r w:rsidRPr="00F35829">
        <w:rPr>
          <w:sz w:val="28"/>
          <w:szCs w:val="28"/>
        </w:rPr>
        <w:t xml:space="preserve"> </w:t>
      </w:r>
    </w:p>
    <w:p w:rsidR="000435B5" w:rsidRDefault="00663A70" w:rsidP="00AA3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течением времени социально - политический кризис в Греции обостряется. Возрастают антиправительственные настроения, не желание осуществлять жест</w:t>
      </w:r>
      <w:r w:rsidR="00F35829">
        <w:rPr>
          <w:sz w:val="28"/>
          <w:szCs w:val="28"/>
        </w:rPr>
        <w:t>кие меры экономии. На данных настроениях спекулируют различные мелкие политические партии, давая избирателям несбыточные обещания, и тем самым еще более дестабилизируя ситуацию в стране</w:t>
      </w:r>
      <w:proofErr w:type="gramStart"/>
      <w:r w:rsidR="00F35829">
        <w:rPr>
          <w:sz w:val="28"/>
          <w:szCs w:val="28"/>
        </w:rPr>
        <w:t xml:space="preserve"> .</w:t>
      </w:r>
      <w:proofErr w:type="gramEnd"/>
      <w:r w:rsidR="00F35829">
        <w:rPr>
          <w:sz w:val="28"/>
          <w:szCs w:val="28"/>
        </w:rPr>
        <w:t xml:space="preserve"> Так на парламентских выборах в Греции в мае 2012 года ведущие партии «</w:t>
      </w:r>
      <w:r w:rsidR="00F35829" w:rsidRPr="00F35829">
        <w:rPr>
          <w:sz w:val="28"/>
          <w:szCs w:val="28"/>
        </w:rPr>
        <w:t>Всегреческое социалистическое движение</w:t>
      </w:r>
      <w:r w:rsidR="00F35829">
        <w:rPr>
          <w:sz w:val="28"/>
          <w:szCs w:val="28"/>
        </w:rPr>
        <w:t>» ПАСОК и партия «</w:t>
      </w:r>
      <w:r w:rsidR="00F35829" w:rsidRPr="00F35829">
        <w:rPr>
          <w:sz w:val="28"/>
          <w:szCs w:val="28"/>
        </w:rPr>
        <w:t>Новая демократия</w:t>
      </w:r>
      <w:r w:rsidR="00F35829">
        <w:rPr>
          <w:sz w:val="28"/>
          <w:szCs w:val="28"/>
        </w:rPr>
        <w:t xml:space="preserve">»  НД, традиционно занимающие 80% мест парламента не смогли набрать и 40% процентов голосов. </w:t>
      </w:r>
      <w:r w:rsidR="000D6156">
        <w:rPr>
          <w:sz w:val="28"/>
          <w:szCs w:val="28"/>
        </w:rPr>
        <w:t xml:space="preserve">Проблема  так называемых стран </w:t>
      </w:r>
      <w:r w:rsidR="000D6156">
        <w:rPr>
          <w:sz w:val="28"/>
          <w:szCs w:val="28"/>
          <w:lang w:val="en-US"/>
        </w:rPr>
        <w:t>PIGS</w:t>
      </w:r>
      <w:r w:rsidR="000D6156">
        <w:rPr>
          <w:sz w:val="28"/>
          <w:szCs w:val="28"/>
        </w:rPr>
        <w:t xml:space="preserve">, и в самой больше мере Греции, состоит в </w:t>
      </w:r>
      <w:proofErr w:type="gramStart"/>
      <w:r w:rsidR="000D6156">
        <w:rPr>
          <w:sz w:val="28"/>
          <w:szCs w:val="28"/>
        </w:rPr>
        <w:t>том</w:t>
      </w:r>
      <w:proofErr w:type="gramEnd"/>
      <w:r w:rsidR="000D6156">
        <w:rPr>
          <w:sz w:val="28"/>
          <w:szCs w:val="28"/>
        </w:rPr>
        <w:t xml:space="preserve"> что при вступлении в Евросоюз они потеряли часть инструментов монетарной политики в управлении своей экономикой. В данных условиях, когда эмиссия валюты является функцией Европейского центрального банка, они не имеют возможности  производить мягкую девальвацию своей национальной волюты (проведение инфляционного налога). В данной экономической ситуации погашение части долга за счет продажи национальной валюты, помимо погашения части долга привело бы к </w:t>
      </w:r>
      <w:r w:rsidR="000D6156">
        <w:rPr>
          <w:sz w:val="28"/>
          <w:szCs w:val="28"/>
        </w:rPr>
        <w:lastRenderedPageBreak/>
        <w:t xml:space="preserve">ее девальвации, что повысило бы конкурентоспособность страны и увеличило бы объем экспорта, что в свою очередь бы оздоровило платежный баланс, государственный бюджет и экономику в целом. Высокая стоимость единой валюты, а также необходимость высокой оплаты труда, </w:t>
      </w:r>
      <w:r w:rsidR="000435B5">
        <w:rPr>
          <w:sz w:val="28"/>
          <w:szCs w:val="28"/>
        </w:rPr>
        <w:t>не  соответствуют производительности и эффективности компаний стран юга, их индекс конкурентоспособности, в связи  с этим, стремительно падает.</w:t>
      </w:r>
    </w:p>
    <w:p w:rsidR="00D51E10" w:rsidRDefault="000435B5" w:rsidP="00A07D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многом данный период является ключевым в истории ЕС, так как необходимо определить путь его дальнейшего развития. Произойдет ли дефолт Грец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выход из еврозоны, что сможет послужить прецедентом для дальнейших выходов стран южной оси, или же данные страны будут спасены, возможно, потеряв часть своих суверенных функций. Расширятся ли полномочия институтов власти и экономической политики ЕС, для последующего жесткого контроля экономической плотики государств, и осуществлении реальных мер по перестройке их экономик. Ответы на эти вопросы мы узнаем в ближайшей перспективе.</w:t>
      </w: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A07DFC" w:rsidRDefault="00A07DFC" w:rsidP="00A07DFC">
      <w:pPr>
        <w:spacing w:line="360" w:lineRule="auto"/>
        <w:ind w:firstLine="709"/>
        <w:jc w:val="both"/>
        <w:rPr>
          <w:sz w:val="28"/>
          <w:szCs w:val="28"/>
        </w:rPr>
      </w:pPr>
    </w:p>
    <w:p w:rsidR="00CE71DB" w:rsidRDefault="00CE71DB" w:rsidP="00CE71DB">
      <w:pPr>
        <w:spacing w:line="360" w:lineRule="auto"/>
        <w:jc w:val="both"/>
        <w:rPr>
          <w:sz w:val="28"/>
          <w:szCs w:val="28"/>
        </w:rPr>
      </w:pPr>
    </w:p>
    <w:p w:rsidR="004C4DF9" w:rsidRDefault="004C4DF9" w:rsidP="00CE71DB">
      <w:pPr>
        <w:spacing w:line="360" w:lineRule="auto"/>
        <w:jc w:val="both"/>
        <w:rPr>
          <w:sz w:val="28"/>
          <w:szCs w:val="28"/>
        </w:rPr>
      </w:pPr>
    </w:p>
    <w:p w:rsidR="00543E00" w:rsidRDefault="00543E00" w:rsidP="00560BC7">
      <w:pPr>
        <w:jc w:val="both"/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07DFC" w:rsidRDefault="00A07DFC" w:rsidP="00AA305F">
      <w:pPr>
        <w:rPr>
          <w:sz w:val="28"/>
          <w:szCs w:val="28"/>
        </w:rPr>
      </w:pPr>
    </w:p>
    <w:p w:rsidR="00AA305F" w:rsidRDefault="00AA305F" w:rsidP="00AA305F">
      <w:pPr>
        <w:rPr>
          <w:sz w:val="28"/>
          <w:szCs w:val="28"/>
        </w:rPr>
      </w:pPr>
    </w:p>
    <w:p w:rsidR="001D7825" w:rsidRPr="001D7825" w:rsidRDefault="001D7825" w:rsidP="00AA305F">
      <w:pPr>
        <w:jc w:val="both"/>
        <w:rPr>
          <w:sz w:val="32"/>
          <w:szCs w:val="32"/>
        </w:rPr>
      </w:pPr>
    </w:p>
    <w:sectPr w:rsidR="001D7825" w:rsidRPr="001D7825" w:rsidSect="00AA305F">
      <w:footerReference w:type="default" r:id="rId29"/>
      <w:pgSz w:w="11906" w:h="16838"/>
      <w:pgMar w:top="1134" w:right="1133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99" w:rsidRDefault="00DC3B99" w:rsidP="000F129F">
      <w:pPr>
        <w:spacing w:after="0" w:line="240" w:lineRule="auto"/>
      </w:pPr>
      <w:r>
        <w:separator/>
      </w:r>
    </w:p>
  </w:endnote>
  <w:endnote w:type="continuationSeparator" w:id="0">
    <w:p w:rsidR="00DC3B99" w:rsidRDefault="00DC3B99" w:rsidP="000F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0286"/>
      <w:docPartObj>
        <w:docPartGallery w:val="Page Numbers (Bottom of Page)"/>
        <w:docPartUnique/>
      </w:docPartObj>
    </w:sdtPr>
    <w:sdtEndPr/>
    <w:sdtContent>
      <w:p w:rsidR="005D4C10" w:rsidRDefault="00DC3B9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3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1B90" w:rsidRDefault="00941B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99" w:rsidRDefault="00DC3B99" w:rsidP="000F129F">
      <w:pPr>
        <w:spacing w:after="0" w:line="240" w:lineRule="auto"/>
      </w:pPr>
      <w:r>
        <w:separator/>
      </w:r>
    </w:p>
  </w:footnote>
  <w:footnote w:type="continuationSeparator" w:id="0">
    <w:p w:rsidR="00DC3B99" w:rsidRDefault="00DC3B99" w:rsidP="000F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CF7"/>
    <w:multiLevelType w:val="hybridMultilevel"/>
    <w:tmpl w:val="CDEA1278"/>
    <w:lvl w:ilvl="0" w:tplc="EBCEE4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2128C"/>
    <w:multiLevelType w:val="hybridMultilevel"/>
    <w:tmpl w:val="74428D82"/>
    <w:lvl w:ilvl="0" w:tplc="4BF6A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857EE"/>
    <w:multiLevelType w:val="hybridMultilevel"/>
    <w:tmpl w:val="382EA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FB0"/>
    <w:multiLevelType w:val="hybridMultilevel"/>
    <w:tmpl w:val="AC76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64C1"/>
    <w:multiLevelType w:val="hybridMultilevel"/>
    <w:tmpl w:val="F586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00E1C"/>
    <w:multiLevelType w:val="hybridMultilevel"/>
    <w:tmpl w:val="E3DA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27AB"/>
    <w:multiLevelType w:val="hybridMultilevel"/>
    <w:tmpl w:val="E45AD5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79B01F75"/>
    <w:multiLevelType w:val="hybridMultilevel"/>
    <w:tmpl w:val="B91016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7D224D38"/>
    <w:multiLevelType w:val="hybridMultilevel"/>
    <w:tmpl w:val="CBB68E4E"/>
    <w:lvl w:ilvl="0" w:tplc="C6A07C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8EB"/>
    <w:rsid w:val="000048EB"/>
    <w:rsid w:val="000250E5"/>
    <w:rsid w:val="000435B5"/>
    <w:rsid w:val="00073921"/>
    <w:rsid w:val="00077530"/>
    <w:rsid w:val="00087696"/>
    <w:rsid w:val="00096AD1"/>
    <w:rsid w:val="000A125E"/>
    <w:rsid w:val="000C6BD9"/>
    <w:rsid w:val="000D6156"/>
    <w:rsid w:val="000D6363"/>
    <w:rsid w:val="000F129F"/>
    <w:rsid w:val="00107253"/>
    <w:rsid w:val="00111327"/>
    <w:rsid w:val="00121206"/>
    <w:rsid w:val="00123563"/>
    <w:rsid w:val="00133EC7"/>
    <w:rsid w:val="001406A4"/>
    <w:rsid w:val="00143F61"/>
    <w:rsid w:val="001513A5"/>
    <w:rsid w:val="00183FF3"/>
    <w:rsid w:val="001A0A51"/>
    <w:rsid w:val="001A7D09"/>
    <w:rsid w:val="001B1334"/>
    <w:rsid w:val="001C6E41"/>
    <w:rsid w:val="001D11AF"/>
    <w:rsid w:val="001D7825"/>
    <w:rsid w:val="001F13E0"/>
    <w:rsid w:val="001F69E4"/>
    <w:rsid w:val="00212E85"/>
    <w:rsid w:val="0028669A"/>
    <w:rsid w:val="002B0520"/>
    <w:rsid w:val="002C4DBF"/>
    <w:rsid w:val="002C76FC"/>
    <w:rsid w:val="002F4C09"/>
    <w:rsid w:val="002F5C29"/>
    <w:rsid w:val="0030245E"/>
    <w:rsid w:val="00331993"/>
    <w:rsid w:val="00351BFD"/>
    <w:rsid w:val="00385960"/>
    <w:rsid w:val="003B7F89"/>
    <w:rsid w:val="003D3B95"/>
    <w:rsid w:val="00403A7D"/>
    <w:rsid w:val="004173C9"/>
    <w:rsid w:val="004340B6"/>
    <w:rsid w:val="00434AB2"/>
    <w:rsid w:val="004368A9"/>
    <w:rsid w:val="004515ED"/>
    <w:rsid w:val="00457211"/>
    <w:rsid w:val="00491004"/>
    <w:rsid w:val="004C4DF9"/>
    <w:rsid w:val="00516236"/>
    <w:rsid w:val="0053578C"/>
    <w:rsid w:val="0054352B"/>
    <w:rsid w:val="00543E00"/>
    <w:rsid w:val="00560BC7"/>
    <w:rsid w:val="00570A45"/>
    <w:rsid w:val="0059116A"/>
    <w:rsid w:val="00591360"/>
    <w:rsid w:val="005A592C"/>
    <w:rsid w:val="005C0A42"/>
    <w:rsid w:val="005D0062"/>
    <w:rsid w:val="005D4C10"/>
    <w:rsid w:val="005E2C8C"/>
    <w:rsid w:val="005F2849"/>
    <w:rsid w:val="00606AF5"/>
    <w:rsid w:val="006211B2"/>
    <w:rsid w:val="0062424A"/>
    <w:rsid w:val="00630EC5"/>
    <w:rsid w:val="00637572"/>
    <w:rsid w:val="00646CBA"/>
    <w:rsid w:val="0065745A"/>
    <w:rsid w:val="00663A70"/>
    <w:rsid w:val="006B7D4C"/>
    <w:rsid w:val="006F0DA3"/>
    <w:rsid w:val="0070473D"/>
    <w:rsid w:val="00706EAC"/>
    <w:rsid w:val="00711A35"/>
    <w:rsid w:val="007232F0"/>
    <w:rsid w:val="00741B18"/>
    <w:rsid w:val="0076117C"/>
    <w:rsid w:val="0076182F"/>
    <w:rsid w:val="00770409"/>
    <w:rsid w:val="00771D8D"/>
    <w:rsid w:val="00774429"/>
    <w:rsid w:val="00792279"/>
    <w:rsid w:val="00793708"/>
    <w:rsid w:val="007B20D7"/>
    <w:rsid w:val="007D3B1D"/>
    <w:rsid w:val="007D5894"/>
    <w:rsid w:val="007F6968"/>
    <w:rsid w:val="008148E0"/>
    <w:rsid w:val="00863BBC"/>
    <w:rsid w:val="00876CA4"/>
    <w:rsid w:val="00884BC0"/>
    <w:rsid w:val="008A3A60"/>
    <w:rsid w:val="008F52E4"/>
    <w:rsid w:val="0090382E"/>
    <w:rsid w:val="00937C23"/>
    <w:rsid w:val="00941B90"/>
    <w:rsid w:val="00985DD6"/>
    <w:rsid w:val="009C7B7C"/>
    <w:rsid w:val="009E49F2"/>
    <w:rsid w:val="009F29BF"/>
    <w:rsid w:val="009F62B1"/>
    <w:rsid w:val="00A07DFC"/>
    <w:rsid w:val="00A372BE"/>
    <w:rsid w:val="00A5063A"/>
    <w:rsid w:val="00A663D8"/>
    <w:rsid w:val="00A6648E"/>
    <w:rsid w:val="00A9444E"/>
    <w:rsid w:val="00A95A68"/>
    <w:rsid w:val="00AA305F"/>
    <w:rsid w:val="00AB00AF"/>
    <w:rsid w:val="00AD037D"/>
    <w:rsid w:val="00B54E8F"/>
    <w:rsid w:val="00B5667E"/>
    <w:rsid w:val="00B56DED"/>
    <w:rsid w:val="00B659C4"/>
    <w:rsid w:val="00B669F8"/>
    <w:rsid w:val="00B80B48"/>
    <w:rsid w:val="00B823BC"/>
    <w:rsid w:val="00B95BF9"/>
    <w:rsid w:val="00BD6736"/>
    <w:rsid w:val="00BE339C"/>
    <w:rsid w:val="00BE7F4A"/>
    <w:rsid w:val="00BF0070"/>
    <w:rsid w:val="00C02EB6"/>
    <w:rsid w:val="00C31DD0"/>
    <w:rsid w:val="00C33842"/>
    <w:rsid w:val="00CB4550"/>
    <w:rsid w:val="00CB4D91"/>
    <w:rsid w:val="00CD51F6"/>
    <w:rsid w:val="00CE347A"/>
    <w:rsid w:val="00CE6A23"/>
    <w:rsid w:val="00CE71DB"/>
    <w:rsid w:val="00D015C4"/>
    <w:rsid w:val="00D01FF7"/>
    <w:rsid w:val="00D04B78"/>
    <w:rsid w:val="00D06C79"/>
    <w:rsid w:val="00D249A2"/>
    <w:rsid w:val="00D51E10"/>
    <w:rsid w:val="00D94915"/>
    <w:rsid w:val="00DB027D"/>
    <w:rsid w:val="00DB1588"/>
    <w:rsid w:val="00DB1BD0"/>
    <w:rsid w:val="00DB5BAE"/>
    <w:rsid w:val="00DC3B99"/>
    <w:rsid w:val="00DC4179"/>
    <w:rsid w:val="00DC625A"/>
    <w:rsid w:val="00DD3115"/>
    <w:rsid w:val="00DE4343"/>
    <w:rsid w:val="00E46422"/>
    <w:rsid w:val="00E82218"/>
    <w:rsid w:val="00EA7F6E"/>
    <w:rsid w:val="00EB2AA0"/>
    <w:rsid w:val="00EC5E2F"/>
    <w:rsid w:val="00EE6B57"/>
    <w:rsid w:val="00EF0CD6"/>
    <w:rsid w:val="00F31E58"/>
    <w:rsid w:val="00F35829"/>
    <w:rsid w:val="00F4433B"/>
    <w:rsid w:val="00F82929"/>
    <w:rsid w:val="00F869F4"/>
    <w:rsid w:val="00F954D8"/>
    <w:rsid w:val="00F972B2"/>
    <w:rsid w:val="00FB75AB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E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A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B1BD0"/>
    <w:pPr>
      <w:spacing w:after="0" w:line="360" w:lineRule="auto"/>
      <w:ind w:left="-363" w:firstLine="363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1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F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1F13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4173C9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0F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29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0F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29F"/>
    <w:rPr>
      <w:rFonts w:ascii="Times New Roman" w:hAnsi="Times New Roman"/>
    </w:rPr>
  </w:style>
  <w:style w:type="paragraph" w:customStyle="1" w:styleId="1">
    <w:name w:val="Стиль1"/>
    <w:rsid w:val="00DC4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133EC7"/>
    <w:rPr>
      <w:color w:val="0000FF" w:themeColor="hyperlink"/>
      <w:u w:val="single"/>
    </w:rPr>
  </w:style>
  <w:style w:type="paragraph" w:styleId="ad">
    <w:name w:val="footnote text"/>
    <w:basedOn w:val="a"/>
    <w:link w:val="ae"/>
    <w:semiHidden/>
    <w:unhideWhenUsed/>
    <w:rsid w:val="001A7D09"/>
    <w:pPr>
      <w:spacing w:after="0" w:line="240" w:lineRule="auto"/>
      <w:ind w:firstLine="113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Текст сноски Знак"/>
    <w:basedOn w:val="a0"/>
    <w:link w:val="ad"/>
    <w:semiHidden/>
    <w:rsid w:val="001A7D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87;&#1088;&#1072;&#1082;&#1090;&#1080;&#1082;&#1072;%20&#1087;&#1086;%20&#1089;&#1090;&#1072;&#1080;&#1089;&#1090;&#1080;&#1082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74;&#1072;\Desktop\&#1091;&#1085;&#1080;&#1074;&#1077;&#1088;\2%20&#1082;&#1091;&#1088;&#1089;\&#1052;&#1080;&#1088;&#1086;&#1074;&#1072;&#1103;%20&#1101;&#1082;&#1086;&#1085;&#1086;&#1084;&#1080;&#1082;&#1072;\&#1050;&#1091;&#1088;&#1089;&#1086;&#1074;&#1072;&#1103;%20&#1088;&#1072;&#1073;&#1086;&#1090;&#1072;\&#1045;&#105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907261592298E-2"/>
          <c:y val="5.1400554097404488E-2"/>
          <c:w val="0.87624759405074371"/>
          <c:h val="0.70742267769292655"/>
        </c:manualLayout>
      </c:layout>
      <c:lineChart>
        <c:grouping val="standard"/>
        <c:varyColors val="0"/>
        <c:ser>
          <c:idx val="0"/>
          <c:order val="0"/>
          <c:tx>
            <c:v>Европейский союз 27</c:v>
          </c:tx>
          <c:cat>
            <c:strRef>
              <c:f>'ВВП '!$B$73:$O$73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'ВВП '!$B$74:$O$74</c:f>
              <c:numCache>
                <c:formatCode>General</c:formatCode>
                <c:ptCount val="14"/>
                <c:pt idx="0">
                  <c:v>3.9</c:v>
                </c:pt>
                <c:pt idx="1">
                  <c:v>2.2000000000000002</c:v>
                </c:pt>
                <c:pt idx="2">
                  <c:v>1.3</c:v>
                </c:pt>
                <c:pt idx="3">
                  <c:v>1.4</c:v>
                </c:pt>
                <c:pt idx="4">
                  <c:v>2.5</c:v>
                </c:pt>
                <c:pt idx="5">
                  <c:v>2</c:v>
                </c:pt>
                <c:pt idx="6">
                  <c:v>3.3</c:v>
                </c:pt>
                <c:pt idx="7">
                  <c:v>3.2</c:v>
                </c:pt>
                <c:pt idx="8">
                  <c:v>0.30000000000000032</c:v>
                </c:pt>
                <c:pt idx="9">
                  <c:v>-4.3</c:v>
                </c:pt>
                <c:pt idx="10">
                  <c:v>2</c:v>
                </c:pt>
                <c:pt idx="11">
                  <c:v>1.5</c:v>
                </c:pt>
                <c:pt idx="12">
                  <c:v>0</c:v>
                </c:pt>
                <c:pt idx="13">
                  <c:v>1.3</c:v>
                </c:pt>
              </c:numCache>
            </c:numRef>
          </c:val>
          <c:smooth val="0"/>
        </c:ser>
        <c:ser>
          <c:idx val="1"/>
          <c:order val="1"/>
          <c:tx>
            <c:v>Европейский союз 15</c:v>
          </c:tx>
          <c:cat>
            <c:strRef>
              <c:f>'ВВП '!$B$73:$O$73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'ВВП '!$B$74:$K$74</c:f>
              <c:numCache>
                <c:formatCode>General</c:formatCode>
                <c:ptCount val="10"/>
                <c:pt idx="0">
                  <c:v>3.9</c:v>
                </c:pt>
                <c:pt idx="1">
                  <c:v>2.2000000000000002</c:v>
                </c:pt>
                <c:pt idx="2">
                  <c:v>1.3</c:v>
                </c:pt>
                <c:pt idx="3">
                  <c:v>1.4</c:v>
                </c:pt>
                <c:pt idx="4">
                  <c:v>2.5</c:v>
                </c:pt>
                <c:pt idx="5">
                  <c:v>2</c:v>
                </c:pt>
                <c:pt idx="6">
                  <c:v>3.3</c:v>
                </c:pt>
                <c:pt idx="7">
                  <c:v>3.2</c:v>
                </c:pt>
                <c:pt idx="8">
                  <c:v>0.30000000000000032</c:v>
                </c:pt>
                <c:pt idx="9">
                  <c:v>-4.3</c:v>
                </c:pt>
              </c:numCache>
            </c:numRef>
          </c:val>
          <c:smooth val="0"/>
        </c:ser>
        <c:ser>
          <c:idx val="2"/>
          <c:order val="2"/>
          <c:tx>
            <c:v>Зона Евро</c:v>
          </c:tx>
          <c:cat>
            <c:strRef>
              <c:f>'ВВП '!$B$73:$O$73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'ВВП '!$B$76:$O$76</c:f>
              <c:numCache>
                <c:formatCode>General</c:formatCode>
                <c:ptCount val="14"/>
                <c:pt idx="0">
                  <c:v>3.8</c:v>
                </c:pt>
                <c:pt idx="1">
                  <c:v>2</c:v>
                </c:pt>
                <c:pt idx="2">
                  <c:v>0.9</c:v>
                </c:pt>
                <c:pt idx="3">
                  <c:v>0.70000000000000062</c:v>
                </c:pt>
                <c:pt idx="4">
                  <c:v>2.2000000000000002</c:v>
                </c:pt>
                <c:pt idx="5">
                  <c:v>1.7000000000000022</c:v>
                </c:pt>
                <c:pt idx="6">
                  <c:v>3.3</c:v>
                </c:pt>
                <c:pt idx="7">
                  <c:v>3</c:v>
                </c:pt>
                <c:pt idx="8">
                  <c:v>0.4</c:v>
                </c:pt>
                <c:pt idx="9">
                  <c:v>-4.3</c:v>
                </c:pt>
                <c:pt idx="10">
                  <c:v>1.9000000000000001</c:v>
                </c:pt>
                <c:pt idx="11">
                  <c:v>1.5</c:v>
                </c:pt>
                <c:pt idx="12">
                  <c:v>-0.30000000000000032</c:v>
                </c:pt>
                <c:pt idx="1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019648"/>
        <c:axId val="160568064"/>
      </c:lineChart>
      <c:catAx>
        <c:axId val="14901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568064"/>
        <c:crosses val="autoZero"/>
        <c:auto val="1"/>
        <c:lblAlgn val="ctr"/>
        <c:lblOffset val="100"/>
        <c:noMultiLvlLbl val="0"/>
      </c:catAx>
      <c:valAx>
        <c:axId val="1605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01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562068370529293"/>
          <c:y val="0.76964032762236689"/>
          <c:w val="0.29736003472007089"/>
          <c:h val="0.230180825386776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907261592298E-2"/>
          <c:y val="5.1400554097404488E-2"/>
          <c:w val="0.89976137357830499"/>
          <c:h val="0.75701974958048535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'Численность населения'!$B$34:$L$34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населения'!$B$35:$L$35</c:f>
              <c:numCache>
                <c:formatCode>#,##0.0</c:formatCode>
                <c:ptCount val="11"/>
                <c:pt idx="0">
                  <c:v>0.60000000000000064</c:v>
                </c:pt>
                <c:pt idx="1">
                  <c:v>0.5</c:v>
                </c:pt>
                <c:pt idx="2">
                  <c:v>0.30000000000000032</c:v>
                </c:pt>
                <c:pt idx="3">
                  <c:v>0.2</c:v>
                </c:pt>
                <c:pt idx="4">
                  <c:v>0.8</c:v>
                </c:pt>
                <c:pt idx="5">
                  <c:v>0.60000000000000064</c:v>
                </c:pt>
                <c:pt idx="6">
                  <c:v>1</c:v>
                </c:pt>
                <c:pt idx="7">
                  <c:v>1</c:v>
                </c:pt>
                <c:pt idx="8">
                  <c:v>1.2</c:v>
                </c:pt>
                <c:pt idx="9" formatCode="#,##0.000">
                  <c:v>1.054</c:v>
                </c:pt>
                <c:pt idx="10" formatCode="#,##0.000">
                  <c:v>1.0289999999999948</c:v>
                </c:pt>
              </c:numCache>
            </c:numRef>
          </c:val>
          <c:smooth val="0"/>
        </c:ser>
        <c:ser>
          <c:idx val="1"/>
          <c:order val="1"/>
          <c:tx>
            <c:v>ЕС 15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'Численность населения'!$B$34:$L$34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населения'!$B$36:$L$36</c:f>
              <c:numCache>
                <c:formatCode>#,##0.0</c:formatCode>
                <c:ptCount val="11"/>
                <c:pt idx="0">
                  <c:v>1.1000000000000001</c:v>
                </c:pt>
                <c:pt idx="1">
                  <c:v>1</c:v>
                </c:pt>
                <c:pt idx="2">
                  <c:v>0.8</c:v>
                </c:pt>
                <c:pt idx="3">
                  <c:v>0.60000000000000064</c:v>
                </c:pt>
                <c:pt idx="4">
                  <c:v>1.2</c:v>
                </c:pt>
                <c:pt idx="5">
                  <c:v>1</c:v>
                </c:pt>
                <c:pt idx="6">
                  <c:v>1.2</c:v>
                </c:pt>
                <c:pt idx="7">
                  <c:v>1.1000000000000001</c:v>
                </c:pt>
                <c:pt idx="8">
                  <c:v>1.3</c:v>
                </c:pt>
                <c:pt idx="9" formatCode="#,##0.000">
                  <c:v>1.008</c:v>
                </c:pt>
                <c:pt idx="10" formatCode="#,##0.000">
                  <c:v>0.999</c:v>
                </c:pt>
              </c:numCache>
            </c:numRef>
          </c:val>
          <c:smooth val="0"/>
        </c:ser>
        <c:ser>
          <c:idx val="2"/>
          <c:order val="2"/>
          <c:tx>
            <c:v>ЕС 12</c:v>
          </c:tx>
          <c:spPr>
            <a:ln>
              <a:solidFill>
                <a:srgbClr val="12BE78"/>
              </a:solidFill>
            </a:ln>
          </c:spPr>
          <c:marker>
            <c:symbol val="none"/>
          </c:marker>
          <c:cat>
            <c:strRef>
              <c:f>'Численность населения'!$B$34:$L$34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населения'!$B$63:$L$63</c:f>
              <c:numCache>
                <c:formatCode>General</c:formatCode>
                <c:ptCount val="11"/>
                <c:pt idx="0">
                  <c:v>-1.0000000000000002</c:v>
                </c:pt>
                <c:pt idx="1">
                  <c:v>-1</c:v>
                </c:pt>
                <c:pt idx="2">
                  <c:v>-1</c:v>
                </c:pt>
                <c:pt idx="3">
                  <c:v>-0.79999999999999993</c:v>
                </c:pt>
                <c:pt idx="4">
                  <c:v>-0.79999999999999982</c:v>
                </c:pt>
                <c:pt idx="5">
                  <c:v>-0.8</c:v>
                </c:pt>
                <c:pt idx="6">
                  <c:v>-0.4</c:v>
                </c:pt>
                <c:pt idx="7">
                  <c:v>-0.20000000000000021</c:v>
                </c:pt>
                <c:pt idx="8">
                  <c:v>-0.20000000000000021</c:v>
                </c:pt>
                <c:pt idx="9">
                  <c:v>9.2000000000000096E-2</c:v>
                </c:pt>
                <c:pt idx="10">
                  <c:v>6.0000000000000032E-2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00544"/>
        <c:axId val="161102080"/>
      </c:lineChart>
      <c:catAx>
        <c:axId val="16110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102080"/>
        <c:crosses val="autoZero"/>
        <c:auto val="1"/>
        <c:lblAlgn val="ctr"/>
        <c:lblOffset val="100"/>
        <c:noMultiLvlLbl val="0"/>
      </c:catAx>
      <c:valAx>
        <c:axId val="16110208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10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718044619422713"/>
          <c:y val="0.8234981044036167"/>
          <c:w val="0.14615288713910771"/>
          <c:h val="0.172447871099446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907261592298E-2"/>
          <c:y val="5.1400554097404488E-2"/>
          <c:w val="0.89698359580052456"/>
          <c:h val="0.77682852143482395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'Численность населения'!$B$96:$L$96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населения'!$B$97:$L$97</c:f>
              <c:numCache>
                <c:formatCode>#,##0.0</c:formatCode>
                <c:ptCount val="11"/>
                <c:pt idx="0">
                  <c:v>1.5</c:v>
                </c:pt>
                <c:pt idx="1">
                  <c:v>1.3</c:v>
                </c:pt>
                <c:pt idx="2">
                  <c:v>3.8</c:v>
                </c:pt>
                <c:pt idx="3">
                  <c:v>4.2</c:v>
                </c:pt>
                <c:pt idx="4">
                  <c:v>4</c:v>
                </c:pt>
                <c:pt idx="5">
                  <c:v>3.6</c:v>
                </c:pt>
                <c:pt idx="6">
                  <c:v>3.2</c:v>
                </c:pt>
                <c:pt idx="7">
                  <c:v>3.9</c:v>
                </c:pt>
                <c:pt idx="8">
                  <c:v>2.8</c:v>
                </c:pt>
                <c:pt idx="9" formatCode="#,##0.000">
                  <c:v>1.7789999999999948</c:v>
                </c:pt>
                <c:pt idx="10" formatCode="#,##0.000">
                  <c:v>1.706</c:v>
                </c:pt>
              </c:numCache>
            </c:numRef>
          </c:val>
          <c:smooth val="0"/>
        </c:ser>
        <c:ser>
          <c:idx val="1"/>
          <c:order val="1"/>
          <c:tx>
            <c:v>ЕС 15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'Численность населения'!$B$96:$L$96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населения'!$B$98:$L$98</c:f>
              <c:numCache>
                <c:formatCode>#,##0.0</c:formatCode>
                <c:ptCount val="11"/>
                <c:pt idx="0">
                  <c:v>3.1</c:v>
                </c:pt>
                <c:pt idx="1">
                  <c:v>3.9</c:v>
                </c:pt>
                <c:pt idx="2">
                  <c:v>5.2</c:v>
                </c:pt>
                <c:pt idx="3">
                  <c:v>5.7</c:v>
                </c:pt>
                <c:pt idx="4">
                  <c:v>5.3</c:v>
                </c:pt>
                <c:pt idx="5">
                  <c:v>4.5</c:v>
                </c:pt>
                <c:pt idx="6">
                  <c:v>4.0999999999999996</c:v>
                </c:pt>
                <c:pt idx="7">
                  <c:v>4.8</c:v>
                </c:pt>
                <c:pt idx="8">
                  <c:v>3.3</c:v>
                </c:pt>
                <c:pt idx="9" formatCode="#,##0.000">
                  <c:v>1.8280000000000001</c:v>
                </c:pt>
                <c:pt idx="10" formatCode="#,##0.000">
                  <c:v>2.1480000000000001</c:v>
                </c:pt>
              </c:numCache>
            </c:numRef>
          </c:val>
          <c:smooth val="0"/>
        </c:ser>
        <c:ser>
          <c:idx val="2"/>
          <c:order val="2"/>
          <c:tx>
            <c:v>ЕС 12</c:v>
          </c:tx>
          <c:spPr>
            <a:ln>
              <a:solidFill>
                <a:srgbClr val="12BE78"/>
              </a:solidFill>
            </a:ln>
          </c:spPr>
          <c:marker>
            <c:symbol val="none"/>
          </c:marker>
          <c:cat>
            <c:strRef>
              <c:f>'Численность населения'!$B$96:$L$96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населения'!$B$126:$L$126</c:f>
              <c:numCache>
                <c:formatCode>#,##0.0</c:formatCode>
                <c:ptCount val="11"/>
                <c:pt idx="0">
                  <c:v>-1.6</c:v>
                </c:pt>
                <c:pt idx="1">
                  <c:v>-2.5999999999999988</c:v>
                </c:pt>
                <c:pt idx="2">
                  <c:v>-1.4000000000000004</c:v>
                </c:pt>
                <c:pt idx="3">
                  <c:v>-1.5</c:v>
                </c:pt>
                <c:pt idx="4">
                  <c:v>-1.2999999999999932</c:v>
                </c:pt>
                <c:pt idx="5">
                  <c:v>-0.89999999999999991</c:v>
                </c:pt>
                <c:pt idx="6">
                  <c:v>-0.89999999999999969</c:v>
                </c:pt>
                <c:pt idx="7">
                  <c:v>-0.89999999999999991</c:v>
                </c:pt>
                <c:pt idx="8">
                  <c:v>-0.5</c:v>
                </c:pt>
                <c:pt idx="9">
                  <c:v>-4.900000000000039E-2</c:v>
                </c:pt>
                <c:pt idx="10">
                  <c:v>-0.44200000000000017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3712"/>
        <c:axId val="161154176"/>
      </c:lineChart>
      <c:catAx>
        <c:axId val="16112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154176"/>
        <c:crosses val="autoZero"/>
        <c:auto val="1"/>
        <c:lblAlgn val="ctr"/>
        <c:lblOffset val="100"/>
        <c:noMultiLvlLbl val="0"/>
      </c:catAx>
      <c:valAx>
        <c:axId val="16115417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12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2606933508311456"/>
          <c:y val="0.84201662292213453"/>
          <c:w val="0.14615288713910771"/>
          <c:h val="0.153929352580928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96062992125983"/>
          <c:y val="5.1400554097404488E-2"/>
          <c:w val="0.83392825896762901"/>
          <c:h val="0.69801326917468653"/>
        </c:manualLayout>
      </c:layout>
      <c:lineChart>
        <c:grouping val="standard"/>
        <c:varyColors val="0"/>
        <c:ser>
          <c:idx val="0"/>
          <c:order val="0"/>
          <c:tx>
            <c:v>Объем экспорта</c:v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strRef>
              <c:f>'Внешняя торговля'!$B$8:$L$8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торговля'!$B$16:$L$16</c:f>
              <c:numCache>
                <c:formatCode>#,##0</c:formatCode>
                <c:ptCount val="11"/>
                <c:pt idx="0">
                  <c:v>849740</c:v>
                </c:pt>
                <c:pt idx="1">
                  <c:v>884707</c:v>
                </c:pt>
                <c:pt idx="2">
                  <c:v>891899</c:v>
                </c:pt>
                <c:pt idx="3">
                  <c:v>869237</c:v>
                </c:pt>
                <c:pt idx="4">
                  <c:v>952955</c:v>
                </c:pt>
                <c:pt idx="5">
                  <c:v>1052720</c:v>
                </c:pt>
                <c:pt idx="6">
                  <c:v>1160101</c:v>
                </c:pt>
                <c:pt idx="7">
                  <c:v>1240556</c:v>
                </c:pt>
                <c:pt idx="8">
                  <c:v>1309885</c:v>
                </c:pt>
                <c:pt idx="9">
                  <c:v>1097142</c:v>
                </c:pt>
                <c:pt idx="10">
                  <c:v>1347948</c:v>
                </c:pt>
              </c:numCache>
            </c:numRef>
          </c:val>
          <c:smooth val="0"/>
        </c:ser>
        <c:ser>
          <c:idx val="1"/>
          <c:order val="1"/>
          <c:tx>
            <c:v>Объем импорта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'Внешняя торговля'!$B$8:$L$8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торговля'!$B$9:$L$9</c:f>
              <c:numCache>
                <c:formatCode>#,##0</c:formatCode>
                <c:ptCount val="11"/>
                <c:pt idx="0">
                  <c:v>992695</c:v>
                </c:pt>
                <c:pt idx="1">
                  <c:v>979143</c:v>
                </c:pt>
                <c:pt idx="2">
                  <c:v>936967</c:v>
                </c:pt>
                <c:pt idx="3">
                  <c:v>935265</c:v>
                </c:pt>
                <c:pt idx="4">
                  <c:v>1027522</c:v>
                </c:pt>
                <c:pt idx="5">
                  <c:v>1179569</c:v>
                </c:pt>
                <c:pt idx="6">
                  <c:v>1352787</c:v>
                </c:pt>
                <c:pt idx="7">
                  <c:v>1435015</c:v>
                </c:pt>
                <c:pt idx="8">
                  <c:v>1566309</c:v>
                </c:pt>
                <c:pt idx="9">
                  <c:v>1206495</c:v>
                </c:pt>
                <c:pt idx="10">
                  <c:v>1506934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75040"/>
        <c:axId val="161176576"/>
      </c:lineChart>
      <c:catAx>
        <c:axId val="16117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176576"/>
        <c:crosses val="autoZero"/>
        <c:auto val="1"/>
        <c:lblAlgn val="ctr"/>
        <c:lblOffset val="100"/>
        <c:noMultiLvlLbl val="0"/>
      </c:catAx>
      <c:valAx>
        <c:axId val="1611765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117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722222222222328"/>
          <c:y val="0.82831984543598713"/>
          <c:w val="0.27500000000000002"/>
          <c:h val="0.167434383202100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002187226596672E-2"/>
          <c:y val="5.1400554097404488E-2"/>
          <c:w val="0.87803906534155163"/>
          <c:h val="0.70619093508833863"/>
        </c:manualLayout>
      </c:layout>
      <c:lineChart>
        <c:grouping val="standard"/>
        <c:varyColors val="0"/>
        <c:ser>
          <c:idx val="0"/>
          <c:order val="0"/>
          <c:tx>
            <c:v>Доля экспорта</c:v>
          </c:tx>
          <c:spPr>
            <a:ln>
              <a:solidFill>
                <a:srgbClr val="00B050"/>
              </a:solidFill>
            </a:ln>
          </c:spPr>
          <c:cat>
            <c:strRef>
              <c:f>'Внешняя торговля'!$D$70:$O$70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торговля'!$D$102:$O$102</c:f>
              <c:numCache>
                <c:formatCode>#,##0.0</c:formatCode>
                <c:ptCount val="12"/>
                <c:pt idx="0">
                  <c:v>68</c:v>
                </c:pt>
                <c:pt idx="1">
                  <c:v>67.900000000000006</c:v>
                </c:pt>
                <c:pt idx="2">
                  <c:v>68</c:v>
                </c:pt>
                <c:pt idx="3">
                  <c:v>68.8</c:v>
                </c:pt>
                <c:pt idx="4">
                  <c:v>68.5</c:v>
                </c:pt>
                <c:pt idx="5">
                  <c:v>67.8</c:v>
                </c:pt>
                <c:pt idx="6">
                  <c:v>68.3</c:v>
                </c:pt>
                <c:pt idx="7">
                  <c:v>68.2</c:v>
                </c:pt>
                <c:pt idx="8">
                  <c:v>67.5</c:v>
                </c:pt>
                <c:pt idx="9">
                  <c:v>66.7</c:v>
                </c:pt>
                <c:pt idx="10">
                  <c:v>65.3</c:v>
                </c:pt>
                <c:pt idx="11">
                  <c:v>64.7</c:v>
                </c:pt>
              </c:numCache>
            </c:numRef>
          </c:val>
          <c:smooth val="0"/>
        </c:ser>
        <c:ser>
          <c:idx val="1"/>
          <c:order val="1"/>
          <c:tx>
            <c:v>Доля импорта</c:v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pPr>
              <a:solidFill>
                <a:schemeClr val="accent2">
                  <a:lumMod val="75000"/>
                </a:schemeClr>
              </a:solidFill>
            </c:spPr>
          </c:marker>
          <c:cat>
            <c:strRef>
              <c:f>'Внешняя торговля'!$D$70:$O$70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торговля'!$D$71:$O$71</c:f>
              <c:numCache>
                <c:formatCode>#,##0.0</c:formatCode>
                <c:ptCount val="12"/>
                <c:pt idx="0">
                  <c:v>63.5</c:v>
                </c:pt>
                <c:pt idx="1">
                  <c:v>64.599999999999994</c:v>
                </c:pt>
                <c:pt idx="2">
                  <c:v>65.8</c:v>
                </c:pt>
                <c:pt idx="3">
                  <c:v>66.099999999999994</c:v>
                </c:pt>
                <c:pt idx="4">
                  <c:v>66</c:v>
                </c:pt>
                <c:pt idx="5">
                  <c:v>64.5</c:v>
                </c:pt>
                <c:pt idx="6">
                  <c:v>64.099999999999994</c:v>
                </c:pt>
                <c:pt idx="7">
                  <c:v>64.400000000000006</c:v>
                </c:pt>
                <c:pt idx="8">
                  <c:v>62.8</c:v>
                </c:pt>
                <c:pt idx="9">
                  <c:v>63.8</c:v>
                </c:pt>
                <c:pt idx="10">
                  <c:v>62.1</c:v>
                </c:pt>
                <c:pt idx="11">
                  <c:v>61.8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205248"/>
        <c:axId val="161211520"/>
      </c:lineChart>
      <c:catAx>
        <c:axId val="16120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211520"/>
        <c:crosses val="autoZero"/>
        <c:auto val="1"/>
        <c:lblAlgn val="ctr"/>
        <c:lblOffset val="100"/>
        <c:noMultiLvlLbl val="0"/>
      </c:catAx>
      <c:valAx>
        <c:axId val="16121152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205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245822397200539"/>
          <c:y val="0.85203462999960822"/>
          <c:w val="0.25420844269466331"/>
          <c:h val="0.143719512672856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002187226596672E-2"/>
          <c:y val="5.1400554097404488E-2"/>
          <c:w val="0.87709645669291625"/>
          <c:h val="0.67629884806065965"/>
        </c:manualLayout>
      </c:layout>
      <c:barChart>
        <c:barDir val="col"/>
        <c:grouping val="clustered"/>
        <c:varyColors val="0"/>
        <c:ser>
          <c:idx val="0"/>
          <c:order val="0"/>
          <c:tx>
            <c:v>Европейский Союз</c:v>
          </c:tx>
          <c:invertIfNegative val="0"/>
          <c:cat>
            <c:strRef>
              <c:f>'Внешняя торговля'!$B$29:$L$29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торговля'!$B$30:$L$30</c:f>
              <c:numCache>
                <c:formatCode>#,##0.0</c:formatCode>
                <c:ptCount val="11"/>
                <c:pt idx="0">
                  <c:v>17.5</c:v>
                </c:pt>
                <c:pt idx="1">
                  <c:v>18.600000000000001</c:v>
                </c:pt>
                <c:pt idx="2">
                  <c:v>19</c:v>
                </c:pt>
                <c:pt idx="3">
                  <c:v>19.2</c:v>
                </c:pt>
                <c:pt idx="4">
                  <c:v>19</c:v>
                </c:pt>
                <c:pt idx="5">
                  <c:v>18</c:v>
                </c:pt>
                <c:pt idx="6">
                  <c:v>17.3</c:v>
                </c:pt>
                <c:pt idx="7">
                  <c:v>17.399999999999999</c:v>
                </c:pt>
                <c:pt idx="8">
                  <c:v>16.7</c:v>
                </c:pt>
                <c:pt idx="9">
                  <c:v>17.2</c:v>
                </c:pt>
                <c:pt idx="10">
                  <c:v>16</c:v>
                </c:pt>
              </c:numCache>
            </c:numRef>
          </c:val>
        </c:ser>
        <c:ser>
          <c:idx val="1"/>
          <c:order val="1"/>
          <c:tx>
            <c:v>США</c:v>
          </c:tx>
          <c:invertIfNegative val="0"/>
          <c:cat>
            <c:strRef>
              <c:f>'Внешняя торговля'!$B$29:$L$29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торговля'!$B$31:$L$31</c:f>
              <c:numCache>
                <c:formatCode>#,##0.0</c:formatCode>
                <c:ptCount val="11"/>
                <c:pt idx="0">
                  <c:v>17.399999999999999</c:v>
                </c:pt>
                <c:pt idx="1">
                  <c:v>17.100000000000001</c:v>
                </c:pt>
                <c:pt idx="2">
                  <c:v>15.6</c:v>
                </c:pt>
                <c:pt idx="3">
                  <c:v>14.2</c:v>
                </c:pt>
                <c:pt idx="4">
                  <c:v>13.1</c:v>
                </c:pt>
                <c:pt idx="5">
                  <c:v>12.4</c:v>
                </c:pt>
                <c:pt idx="6">
                  <c:v>12.3</c:v>
                </c:pt>
                <c:pt idx="7">
                  <c:v>11.9</c:v>
                </c:pt>
                <c:pt idx="8">
                  <c:v>11.2</c:v>
                </c:pt>
                <c:pt idx="9">
                  <c:v>11.8</c:v>
                </c:pt>
                <c:pt idx="10">
                  <c:v>11.4</c:v>
                </c:pt>
              </c:numCache>
            </c:numRef>
          </c:val>
        </c:ser>
        <c:ser>
          <c:idx val="2"/>
          <c:order val="2"/>
          <c:tx>
            <c:v>Китай</c:v>
          </c:tx>
          <c:invertIfNegative val="0"/>
          <c:cat>
            <c:strRef>
              <c:f>'Внешняя торговля'!$B$29:$L$29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торговля'!$B$32:$L$32</c:f>
              <c:numCache>
                <c:formatCode>#,##0.0</c:formatCode>
                <c:ptCount val="11"/>
                <c:pt idx="0">
                  <c:v>5.6</c:v>
                </c:pt>
                <c:pt idx="1">
                  <c:v>6.2</c:v>
                </c:pt>
                <c:pt idx="2">
                  <c:v>7.3</c:v>
                </c:pt>
                <c:pt idx="3">
                  <c:v>8.6</c:v>
                </c:pt>
                <c:pt idx="4">
                  <c:v>9.5</c:v>
                </c:pt>
                <c:pt idx="5">
                  <c:v>10.5</c:v>
                </c:pt>
                <c:pt idx="6">
                  <c:v>11.5</c:v>
                </c:pt>
                <c:pt idx="7">
                  <c:v>12.5</c:v>
                </c:pt>
                <c:pt idx="8">
                  <c:v>12.4</c:v>
                </c:pt>
                <c:pt idx="9">
                  <c:v>13.5</c:v>
                </c:pt>
                <c:pt idx="10">
                  <c:v>14.1</c:v>
                </c:pt>
              </c:numCache>
            </c:numRef>
          </c:val>
        </c:ser>
        <c:ser>
          <c:idx val="3"/>
          <c:order val="3"/>
          <c:tx>
            <c:v>Япония</c:v>
          </c:tx>
          <c:invertIfNegative val="0"/>
          <c:cat>
            <c:strRef>
              <c:f>'Внешняя торговля'!$B$29:$L$29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торговля'!$B$33:$L$33</c:f>
              <c:numCache>
                <c:formatCode>#,##0.0</c:formatCode>
                <c:ptCount val="11"/>
                <c:pt idx="0">
                  <c:v>10.7</c:v>
                </c:pt>
                <c:pt idx="1">
                  <c:v>9.5</c:v>
                </c:pt>
                <c:pt idx="2">
                  <c:v>9.4</c:v>
                </c:pt>
                <c:pt idx="3">
                  <c:v>9.2000000000000011</c:v>
                </c:pt>
                <c:pt idx="4">
                  <c:v>9</c:v>
                </c:pt>
                <c:pt idx="5">
                  <c:v>8.2000000000000011</c:v>
                </c:pt>
                <c:pt idx="6">
                  <c:v>7.7</c:v>
                </c:pt>
                <c:pt idx="7">
                  <c:v>7.3</c:v>
                </c:pt>
                <c:pt idx="8">
                  <c:v>6.8</c:v>
                </c:pt>
                <c:pt idx="9">
                  <c:v>6.5</c:v>
                </c:pt>
                <c:pt idx="10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42112"/>
        <c:axId val="161248000"/>
      </c:barChart>
      <c:catAx>
        <c:axId val="16124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248000"/>
        <c:crosses val="autoZero"/>
        <c:auto val="1"/>
        <c:lblAlgn val="ctr"/>
        <c:lblOffset val="100"/>
        <c:noMultiLvlLbl val="0"/>
      </c:catAx>
      <c:valAx>
        <c:axId val="16124800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24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287646175508776"/>
          <c:y val="0.82330649680025958"/>
          <c:w val="0.26879022618120874"/>
          <c:h val="0.176693503199740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Продукты питания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торговля'!$B$61:$M$61</c:f>
              <c:numCache>
                <c:formatCode>#,##0.0</c:formatCode>
                <c:ptCount val="12"/>
                <c:pt idx="0">
                  <c:v>5.5</c:v>
                </c:pt>
                <c:pt idx="1">
                  <c:v>5.9</c:v>
                </c:pt>
                <c:pt idx="2">
                  <c:v>6.2</c:v>
                </c:pt>
                <c:pt idx="3">
                  <c:v>6.1</c:v>
                </c:pt>
                <c:pt idx="4">
                  <c:v>5.7</c:v>
                </c:pt>
                <c:pt idx="5">
                  <c:v>5.3</c:v>
                </c:pt>
                <c:pt idx="6">
                  <c:v>5</c:v>
                </c:pt>
                <c:pt idx="7">
                  <c:v>5.3</c:v>
                </c:pt>
                <c:pt idx="8">
                  <c:v>5.2</c:v>
                </c:pt>
                <c:pt idx="9">
                  <c:v>6.1</c:v>
                </c:pt>
                <c:pt idx="10">
                  <c:v>5.3</c:v>
                </c:pt>
                <c:pt idx="11">
                  <c:v>5.4</c:v>
                </c:pt>
              </c:numCache>
            </c:numRef>
          </c:val>
          <c:smooth val="0"/>
        </c:ser>
        <c:ser>
          <c:idx val="1"/>
          <c:order val="1"/>
          <c:tx>
            <c:v>Сырые материалы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торговля'!$B$62:$M$62</c:f>
              <c:numCache>
                <c:formatCode>#,##0.0</c:formatCode>
                <c:ptCount val="12"/>
                <c:pt idx="0">
                  <c:v>5</c:v>
                </c:pt>
                <c:pt idx="1">
                  <c:v>4.9000000000000004</c:v>
                </c:pt>
                <c:pt idx="2">
                  <c:v>4.8</c:v>
                </c:pt>
                <c:pt idx="3">
                  <c:v>4.5999999999999996</c:v>
                </c:pt>
                <c:pt idx="4">
                  <c:v>4.7</c:v>
                </c:pt>
                <c:pt idx="5">
                  <c:v>4.5</c:v>
                </c:pt>
                <c:pt idx="6">
                  <c:v>4.7</c:v>
                </c:pt>
                <c:pt idx="7">
                  <c:v>4.9000000000000004</c:v>
                </c:pt>
                <c:pt idx="8">
                  <c:v>4.8</c:v>
                </c:pt>
                <c:pt idx="9">
                  <c:v>3.9</c:v>
                </c:pt>
                <c:pt idx="10">
                  <c:v>4.7</c:v>
                </c:pt>
                <c:pt idx="11">
                  <c:v>5.0999999999999996</c:v>
                </c:pt>
              </c:numCache>
            </c:numRef>
          </c:val>
          <c:smooth val="0"/>
        </c:ser>
        <c:ser>
          <c:idx val="2"/>
          <c:order val="2"/>
          <c:tx>
            <c:v>Минеральное топливо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торговля'!$B$63:$M$63</c:f>
              <c:numCache>
                <c:formatCode>#,##0.0</c:formatCode>
                <c:ptCount val="12"/>
                <c:pt idx="0">
                  <c:v>16.2</c:v>
                </c:pt>
                <c:pt idx="1">
                  <c:v>16.100000000000001</c:v>
                </c:pt>
                <c:pt idx="2">
                  <c:v>15.9</c:v>
                </c:pt>
                <c:pt idx="3">
                  <c:v>16.899999999999999</c:v>
                </c:pt>
                <c:pt idx="4">
                  <c:v>17.899999999999999</c:v>
                </c:pt>
                <c:pt idx="5">
                  <c:v>23.1</c:v>
                </c:pt>
                <c:pt idx="6">
                  <c:v>25.1</c:v>
                </c:pt>
                <c:pt idx="7">
                  <c:v>23.4</c:v>
                </c:pt>
                <c:pt idx="8">
                  <c:v>29.2</c:v>
                </c:pt>
                <c:pt idx="9">
                  <c:v>24.6</c:v>
                </c:pt>
                <c:pt idx="10">
                  <c:v>25.4</c:v>
                </c:pt>
                <c:pt idx="11">
                  <c:v>28.9</c:v>
                </c:pt>
              </c:numCache>
            </c:numRef>
          </c:val>
          <c:smooth val="0"/>
        </c:ser>
        <c:ser>
          <c:idx val="3"/>
          <c:order val="3"/>
          <c:tx>
            <c:v>Химическая продукция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торговля'!$B$64:$M$64</c:f>
              <c:numCache>
                <c:formatCode>#,##0.0</c:formatCode>
                <c:ptCount val="12"/>
                <c:pt idx="0">
                  <c:v>7.1</c:v>
                </c:pt>
                <c:pt idx="1">
                  <c:v>7.9</c:v>
                </c:pt>
                <c:pt idx="2">
                  <c:v>8.6</c:v>
                </c:pt>
                <c:pt idx="3">
                  <c:v>8.6</c:v>
                </c:pt>
                <c:pt idx="4">
                  <c:v>8.6</c:v>
                </c:pt>
                <c:pt idx="5">
                  <c:v>8.2000000000000011</c:v>
                </c:pt>
                <c:pt idx="6">
                  <c:v>8.1</c:v>
                </c:pt>
                <c:pt idx="7">
                  <c:v>8.4</c:v>
                </c:pt>
                <c:pt idx="8">
                  <c:v>7.9</c:v>
                </c:pt>
                <c:pt idx="9">
                  <c:v>9.3000000000000007</c:v>
                </c:pt>
                <c:pt idx="10">
                  <c:v>9.1</c:v>
                </c:pt>
                <c:pt idx="11">
                  <c:v>9</c:v>
                </c:pt>
              </c:numCache>
            </c:numRef>
          </c:val>
          <c:smooth val="0"/>
        </c:ser>
        <c:ser>
          <c:idx val="4"/>
          <c:order val="4"/>
          <c:tx>
            <c:v>Продукция машиностроения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торговля'!$B$66:$M$66</c:f>
              <c:numCache>
                <c:formatCode>#,##0.0</c:formatCode>
                <c:ptCount val="12"/>
                <c:pt idx="0">
                  <c:v>37.4</c:v>
                </c:pt>
                <c:pt idx="1">
                  <c:v>36</c:v>
                </c:pt>
                <c:pt idx="2">
                  <c:v>35.1</c:v>
                </c:pt>
                <c:pt idx="3">
                  <c:v>34.9</c:v>
                </c:pt>
                <c:pt idx="4">
                  <c:v>34.5</c:v>
                </c:pt>
                <c:pt idx="5">
                  <c:v>32.1</c:v>
                </c:pt>
                <c:pt idx="6">
                  <c:v>29.8</c:v>
                </c:pt>
                <c:pt idx="7">
                  <c:v>29.9</c:v>
                </c:pt>
                <c:pt idx="8">
                  <c:v>27.2</c:v>
                </c:pt>
                <c:pt idx="9">
                  <c:v>29.2</c:v>
                </c:pt>
                <c:pt idx="10">
                  <c:v>29.5</c:v>
                </c:pt>
                <c:pt idx="11">
                  <c:v>26.1</c:v>
                </c:pt>
              </c:numCache>
            </c:numRef>
          </c:val>
          <c:smooth val="0"/>
        </c:ser>
        <c:ser>
          <c:idx val="5"/>
          <c:order val="5"/>
          <c:tx>
            <c:v>Другие товары и операции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торговля'!$B$67:$M$67</c:f>
              <c:numCache>
                <c:formatCode>#,##0.0</c:formatCode>
                <c:ptCount val="12"/>
                <c:pt idx="0">
                  <c:v>3.5</c:v>
                </c:pt>
                <c:pt idx="1">
                  <c:v>3.3</c:v>
                </c:pt>
                <c:pt idx="2">
                  <c:v>3.3</c:v>
                </c:pt>
                <c:pt idx="3">
                  <c:v>3.3</c:v>
                </c:pt>
                <c:pt idx="4">
                  <c:v>3.1</c:v>
                </c:pt>
                <c:pt idx="5">
                  <c:v>2.2000000000000002</c:v>
                </c:pt>
                <c:pt idx="6">
                  <c:v>2.1</c:v>
                </c:pt>
                <c:pt idx="7">
                  <c:v>1.4</c:v>
                </c:pt>
                <c:pt idx="8">
                  <c:v>1.7</c:v>
                </c:pt>
                <c:pt idx="9">
                  <c:v>2.2999999999999998</c:v>
                </c:pt>
                <c:pt idx="10">
                  <c:v>1.9000000000000001</c:v>
                </c:pt>
                <c:pt idx="11">
                  <c:v>1.8</c:v>
                </c:pt>
              </c:numCache>
            </c:numRef>
          </c:val>
          <c:smooth val="0"/>
        </c:ser>
        <c:ser>
          <c:idx val="6"/>
          <c:order val="6"/>
          <c:tx>
            <c:v>Другие промышленные товары</c:v>
          </c:tx>
          <c:marker>
            <c:symbol val="none"/>
          </c:marker>
          <c:cat>
            <c:strRef>
              <c:f>'Внешняя торговля'!$B$60:$M$60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торговля'!$B$65:$M$65</c:f>
              <c:numCache>
                <c:formatCode>#,##0.0</c:formatCode>
                <c:ptCount val="12"/>
                <c:pt idx="0">
                  <c:v>25.2</c:v>
                </c:pt>
                <c:pt idx="1">
                  <c:v>25.9</c:v>
                </c:pt>
                <c:pt idx="2">
                  <c:v>26.1</c:v>
                </c:pt>
                <c:pt idx="3">
                  <c:v>25.5</c:v>
                </c:pt>
                <c:pt idx="4">
                  <c:v>25.5</c:v>
                </c:pt>
                <c:pt idx="5">
                  <c:v>24.6</c:v>
                </c:pt>
                <c:pt idx="6">
                  <c:v>25.2</c:v>
                </c:pt>
                <c:pt idx="7">
                  <c:v>26.7</c:v>
                </c:pt>
                <c:pt idx="8">
                  <c:v>24</c:v>
                </c:pt>
                <c:pt idx="9">
                  <c:v>24.5</c:v>
                </c:pt>
                <c:pt idx="10">
                  <c:v>24</c:v>
                </c:pt>
                <c:pt idx="11">
                  <c:v>23.6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281152"/>
        <c:axId val="161282688"/>
      </c:lineChart>
      <c:catAx>
        <c:axId val="16128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282688"/>
        <c:crosses val="autoZero"/>
        <c:auto val="1"/>
        <c:lblAlgn val="ctr"/>
        <c:lblOffset val="100"/>
        <c:noMultiLvlLbl val="0"/>
      </c:catAx>
      <c:valAx>
        <c:axId val="16128268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28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Продукты питания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торговля'!$B$51:$M$51</c:f>
              <c:numCache>
                <c:formatCode>#,##0.0</c:formatCode>
                <c:ptCount val="12"/>
                <c:pt idx="0">
                  <c:v>5.6</c:v>
                </c:pt>
                <c:pt idx="1">
                  <c:v>5.6</c:v>
                </c:pt>
                <c:pt idx="2">
                  <c:v>5.6</c:v>
                </c:pt>
                <c:pt idx="3">
                  <c:v>5.6</c:v>
                </c:pt>
                <c:pt idx="4">
                  <c:v>5.0999999999999996</c:v>
                </c:pt>
                <c:pt idx="5">
                  <c:v>4.9000000000000004</c:v>
                </c:pt>
                <c:pt idx="6">
                  <c:v>5</c:v>
                </c:pt>
                <c:pt idx="7">
                  <c:v>5</c:v>
                </c:pt>
                <c:pt idx="8">
                  <c:v>5.2</c:v>
                </c:pt>
                <c:pt idx="9">
                  <c:v>5.7</c:v>
                </c:pt>
                <c:pt idx="10">
                  <c:v>5.7</c:v>
                </c:pt>
                <c:pt idx="11">
                  <c:v>5.8</c:v>
                </c:pt>
              </c:numCache>
            </c:numRef>
          </c:val>
          <c:smooth val="0"/>
        </c:ser>
        <c:ser>
          <c:idx val="1"/>
          <c:order val="1"/>
          <c:tx>
            <c:v>Сырьевые материалы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торговля'!$B$52:$M$52</c:f>
              <c:numCache>
                <c:formatCode>#,##0.0</c:formatCode>
                <c:ptCount val="12"/>
                <c:pt idx="0">
                  <c:v>2.1</c:v>
                </c:pt>
                <c:pt idx="1">
                  <c:v>1.9000000000000001</c:v>
                </c:pt>
                <c:pt idx="2">
                  <c:v>2.1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2.4</c:v>
                </c:pt>
                <c:pt idx="8">
                  <c:v>2.5</c:v>
                </c:pt>
                <c:pt idx="9">
                  <c:v>2.5</c:v>
                </c:pt>
                <c:pt idx="10">
                  <c:v>2.8</c:v>
                </c:pt>
                <c:pt idx="11">
                  <c:v>2.9</c:v>
                </c:pt>
              </c:numCache>
            </c:numRef>
          </c:val>
          <c:smooth val="0"/>
        </c:ser>
        <c:ser>
          <c:idx val="2"/>
          <c:order val="2"/>
          <c:tx>
            <c:v>Минеральное топливо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торговля'!$B$53:$M$53</c:f>
              <c:numCache>
                <c:formatCode>#,##0.0</c:formatCode>
                <c:ptCount val="12"/>
                <c:pt idx="0">
                  <c:v>3.4</c:v>
                </c:pt>
                <c:pt idx="1">
                  <c:v>2.8</c:v>
                </c:pt>
                <c:pt idx="2">
                  <c:v>2.9</c:v>
                </c:pt>
                <c:pt idx="3">
                  <c:v>3.2</c:v>
                </c:pt>
                <c:pt idx="4">
                  <c:v>3.5</c:v>
                </c:pt>
                <c:pt idx="5">
                  <c:v>4.4000000000000004</c:v>
                </c:pt>
                <c:pt idx="6">
                  <c:v>5.0999999999999996</c:v>
                </c:pt>
                <c:pt idx="7">
                  <c:v>5.3</c:v>
                </c:pt>
                <c:pt idx="8">
                  <c:v>6.3</c:v>
                </c:pt>
                <c:pt idx="9">
                  <c:v>5.2</c:v>
                </c:pt>
                <c:pt idx="10">
                  <c:v>5.6</c:v>
                </c:pt>
                <c:pt idx="11">
                  <c:v>6.5</c:v>
                </c:pt>
              </c:numCache>
            </c:numRef>
          </c:val>
          <c:smooth val="0"/>
        </c:ser>
        <c:ser>
          <c:idx val="3"/>
          <c:order val="3"/>
          <c:tx>
            <c:v>Химическая продукция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торговля'!$B$54:$M$54</c:f>
              <c:numCache>
                <c:formatCode>#,##0.0</c:formatCode>
                <c:ptCount val="12"/>
                <c:pt idx="0">
                  <c:v>14</c:v>
                </c:pt>
                <c:pt idx="1">
                  <c:v>14.7</c:v>
                </c:pt>
                <c:pt idx="2">
                  <c:v>15.8</c:v>
                </c:pt>
                <c:pt idx="3">
                  <c:v>16.2</c:v>
                </c:pt>
                <c:pt idx="4">
                  <c:v>16</c:v>
                </c:pt>
                <c:pt idx="5">
                  <c:v>15.7</c:v>
                </c:pt>
                <c:pt idx="6">
                  <c:v>15.9</c:v>
                </c:pt>
                <c:pt idx="7">
                  <c:v>16</c:v>
                </c:pt>
                <c:pt idx="8">
                  <c:v>15.2</c:v>
                </c:pt>
                <c:pt idx="9">
                  <c:v>17.899999999999999</c:v>
                </c:pt>
                <c:pt idx="10">
                  <c:v>17.399999999999999</c:v>
                </c:pt>
                <c:pt idx="11">
                  <c:v>16.5</c:v>
                </c:pt>
              </c:numCache>
            </c:numRef>
          </c:val>
          <c:smooth val="0"/>
        </c:ser>
        <c:ser>
          <c:idx val="4"/>
          <c:order val="4"/>
          <c:tx>
            <c:v>Продукция машиностроения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smooth val="0"/>
        </c:ser>
        <c:ser>
          <c:idx val="5"/>
          <c:order val="5"/>
          <c:tx>
            <c:v>Другие товары и операции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торговля'!$B$57:$M$57</c:f>
              <c:numCache>
                <c:formatCode>#,##0.0</c:formatCode>
                <c:ptCount val="12"/>
                <c:pt idx="0">
                  <c:v>2.2000000000000002</c:v>
                </c:pt>
                <c:pt idx="1">
                  <c:v>2.1</c:v>
                </c:pt>
                <c:pt idx="2">
                  <c:v>2.2000000000000002</c:v>
                </c:pt>
                <c:pt idx="3">
                  <c:v>2.1</c:v>
                </c:pt>
                <c:pt idx="4">
                  <c:v>2.2999999999999998</c:v>
                </c:pt>
                <c:pt idx="5">
                  <c:v>2.9</c:v>
                </c:pt>
                <c:pt idx="6">
                  <c:v>2.7</c:v>
                </c:pt>
                <c:pt idx="7">
                  <c:v>2</c:v>
                </c:pt>
                <c:pt idx="8">
                  <c:v>2.6</c:v>
                </c:pt>
                <c:pt idx="9">
                  <c:v>3</c:v>
                </c:pt>
                <c:pt idx="10">
                  <c:v>2.9</c:v>
                </c:pt>
                <c:pt idx="11">
                  <c:v>2.7</c:v>
                </c:pt>
              </c:numCache>
            </c:numRef>
          </c:val>
          <c:smooth val="0"/>
        </c:ser>
        <c:ser>
          <c:idx val="6"/>
          <c:order val="6"/>
          <c:tx>
            <c:v>Другие промышленные товары</c:v>
          </c:tx>
          <c:marker>
            <c:symbol val="none"/>
          </c:marker>
          <c:cat>
            <c:strRef>
              <c:f>'Внешняя торговля'!$B$50:$M$50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'Внешняя торговля'!$B$55:$M$55</c:f>
              <c:numCache>
                <c:formatCode>#,##0.0</c:formatCode>
                <c:ptCount val="12"/>
                <c:pt idx="0">
                  <c:v>26.4</c:v>
                </c:pt>
                <c:pt idx="1">
                  <c:v>26.3</c:v>
                </c:pt>
                <c:pt idx="2">
                  <c:v>26.3</c:v>
                </c:pt>
                <c:pt idx="3">
                  <c:v>25.8</c:v>
                </c:pt>
                <c:pt idx="4">
                  <c:v>25.8</c:v>
                </c:pt>
                <c:pt idx="5">
                  <c:v>25.3</c:v>
                </c:pt>
                <c:pt idx="6">
                  <c:v>25.3</c:v>
                </c:pt>
                <c:pt idx="7">
                  <c:v>25</c:v>
                </c:pt>
                <c:pt idx="8">
                  <c:v>24.2</c:v>
                </c:pt>
                <c:pt idx="9">
                  <c:v>23.7</c:v>
                </c:pt>
                <c:pt idx="10">
                  <c:v>23.1</c:v>
                </c:pt>
                <c:pt idx="11">
                  <c:v>23.1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77568"/>
        <c:axId val="160883456"/>
      </c:lineChart>
      <c:catAx>
        <c:axId val="16087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0883456"/>
        <c:crosses val="autoZero"/>
        <c:auto val="1"/>
        <c:lblAlgn val="ctr"/>
        <c:lblOffset val="100"/>
        <c:noMultiLvlLbl val="0"/>
      </c:catAx>
      <c:valAx>
        <c:axId val="16088345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087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66666666666672"/>
          <c:y val="3.4733887430737825E-2"/>
          <c:w val="0.34166666666666795"/>
          <c:h val="0.953680373286673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309951881014873"/>
          <c:y val="5.1400554097404488E-2"/>
          <c:w val="0.84110301837270363"/>
          <c:h val="0.82512676455983569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cat>
            <c:strRef>
              <c:f>'Внешняя торговля'!$B$21:$L$22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торговля'!$B$23:$L$23</c:f>
              <c:numCache>
                <c:formatCode>#,##0</c:formatCode>
                <c:ptCount val="11"/>
                <c:pt idx="0">
                  <c:v>-142956</c:v>
                </c:pt>
                <c:pt idx="1">
                  <c:v>-94436</c:v>
                </c:pt>
                <c:pt idx="2">
                  <c:v>-45068</c:v>
                </c:pt>
                <c:pt idx="3">
                  <c:v>-66028</c:v>
                </c:pt>
                <c:pt idx="4">
                  <c:v>-74567</c:v>
                </c:pt>
                <c:pt idx="5">
                  <c:v>-126849</c:v>
                </c:pt>
                <c:pt idx="6">
                  <c:v>-192686</c:v>
                </c:pt>
                <c:pt idx="7">
                  <c:v>-194459</c:v>
                </c:pt>
                <c:pt idx="8">
                  <c:v>-256424</c:v>
                </c:pt>
                <c:pt idx="9">
                  <c:v>-109353</c:v>
                </c:pt>
                <c:pt idx="10">
                  <c:v>-158986</c:v>
                </c:pt>
              </c:numCache>
            </c:numRef>
          </c:val>
          <c:smooth val="0"/>
        </c:ser>
        <c:ser>
          <c:idx val="1"/>
          <c:order val="1"/>
          <c:tx>
            <c:v>США</c:v>
          </c:tx>
          <c:cat>
            <c:strRef>
              <c:f>'Внешняя торговля'!$B$21:$L$22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торговля'!$B$24:$L$24</c:f>
              <c:numCache>
                <c:formatCode>#,##0</c:formatCode>
                <c:ptCount val="11"/>
                <c:pt idx="0">
                  <c:v>-517260</c:v>
                </c:pt>
                <c:pt idx="1">
                  <c:v>-501416</c:v>
                </c:pt>
                <c:pt idx="2">
                  <c:v>-538348</c:v>
                </c:pt>
                <c:pt idx="3">
                  <c:v>-514041</c:v>
                </c:pt>
                <c:pt idx="4">
                  <c:v>-568665</c:v>
                </c:pt>
                <c:pt idx="5">
                  <c:v>-665526</c:v>
                </c:pt>
                <c:pt idx="6">
                  <c:v>-702427</c:v>
                </c:pt>
                <c:pt idx="7">
                  <c:v>-623555</c:v>
                </c:pt>
                <c:pt idx="8">
                  <c:v>-588071</c:v>
                </c:pt>
                <c:pt idx="9">
                  <c:v>-390869</c:v>
                </c:pt>
                <c:pt idx="10">
                  <c:v>-520018</c:v>
                </c:pt>
              </c:numCache>
            </c:numRef>
          </c:val>
          <c:smooth val="0"/>
        </c:ser>
        <c:ser>
          <c:idx val="2"/>
          <c:order val="2"/>
          <c:tx>
            <c:v>Китай</c:v>
          </c:tx>
          <c:cat>
            <c:strRef>
              <c:f>'Внешняя торговля'!$B$21:$L$22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торговля'!$B$25:$L$25</c:f>
              <c:numCache>
                <c:formatCode>#,##0</c:formatCode>
                <c:ptCount val="11"/>
                <c:pt idx="0">
                  <c:v>26103</c:v>
                </c:pt>
                <c:pt idx="1">
                  <c:v>25173</c:v>
                </c:pt>
                <c:pt idx="2">
                  <c:v>32176</c:v>
                </c:pt>
                <c:pt idx="3">
                  <c:v>22514</c:v>
                </c:pt>
                <c:pt idx="4">
                  <c:v>25803</c:v>
                </c:pt>
                <c:pt idx="5">
                  <c:v>81987</c:v>
                </c:pt>
                <c:pt idx="6">
                  <c:v>141347</c:v>
                </c:pt>
                <c:pt idx="7">
                  <c:v>192590</c:v>
                </c:pt>
                <c:pt idx="8">
                  <c:v>202700</c:v>
                </c:pt>
                <c:pt idx="9">
                  <c:v>140588</c:v>
                </c:pt>
                <c:pt idx="10">
                  <c:v>138790</c:v>
                </c:pt>
              </c:numCache>
            </c:numRef>
          </c:val>
          <c:smooth val="0"/>
        </c:ser>
        <c:ser>
          <c:idx val="3"/>
          <c:order val="3"/>
          <c:tx>
            <c:v>Япония</c:v>
          </c:tx>
          <c:cat>
            <c:strRef>
              <c:f>'Внешняя торговля'!$B$21:$L$22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'Внешняя торговля'!$B$26:$L$26</c:f>
              <c:numCache>
                <c:formatCode>#,##0</c:formatCode>
                <c:ptCount val="11"/>
                <c:pt idx="0">
                  <c:v>107802</c:v>
                </c:pt>
                <c:pt idx="1">
                  <c:v>60365</c:v>
                </c:pt>
                <c:pt idx="2">
                  <c:v>83657</c:v>
                </c:pt>
                <c:pt idx="3">
                  <c:v>78274</c:v>
                </c:pt>
                <c:pt idx="4">
                  <c:v>88839</c:v>
                </c:pt>
                <c:pt idx="5">
                  <c:v>63560</c:v>
                </c:pt>
                <c:pt idx="6">
                  <c:v>53887</c:v>
                </c:pt>
                <c:pt idx="7">
                  <c:v>67190</c:v>
                </c:pt>
                <c:pt idx="8">
                  <c:v>12835</c:v>
                </c:pt>
                <c:pt idx="9">
                  <c:v>20601</c:v>
                </c:pt>
                <c:pt idx="10">
                  <c:v>58248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376896"/>
        <c:axId val="161378688"/>
      </c:lineChart>
      <c:catAx>
        <c:axId val="16137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378688"/>
        <c:crosses val="autoZero"/>
        <c:auto val="1"/>
        <c:lblAlgn val="ctr"/>
        <c:lblOffset val="100"/>
        <c:noMultiLvlLbl val="0"/>
      </c:catAx>
      <c:valAx>
        <c:axId val="1613786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137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309387462930772"/>
          <c:y val="0.84855671419450962"/>
          <c:w val="0.54967668814125459"/>
          <c:h val="0.147581471235014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Евросоюз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бюджета'!$B$2:$M$2</c:f>
              <c:numCache>
                <c:formatCode>#,##0.0</c:formatCode>
                <c:ptCount val="12"/>
                <c:pt idx="0">
                  <c:v>0.60000000000000064</c:v>
                </c:pt>
                <c:pt idx="1">
                  <c:v>-1.5</c:v>
                </c:pt>
                <c:pt idx="2">
                  <c:v>-2.6</c:v>
                </c:pt>
                <c:pt idx="3">
                  <c:v>-3.2</c:v>
                </c:pt>
                <c:pt idx="4">
                  <c:v>-2.9</c:v>
                </c:pt>
                <c:pt idx="5">
                  <c:v>-2.4</c:v>
                </c:pt>
                <c:pt idx="6">
                  <c:v>-1.5</c:v>
                </c:pt>
                <c:pt idx="7">
                  <c:v>-0.9</c:v>
                </c:pt>
                <c:pt idx="8">
                  <c:v>-2.4</c:v>
                </c:pt>
                <c:pt idx="9">
                  <c:v>-6.9</c:v>
                </c:pt>
                <c:pt idx="10">
                  <c:v>-6.5</c:v>
                </c:pt>
                <c:pt idx="11">
                  <c:v>-4.5</c:v>
                </c:pt>
              </c:numCache>
            </c:numRef>
          </c:val>
          <c:smooth val="0"/>
        </c:ser>
        <c:ser>
          <c:idx val="1"/>
          <c:order val="1"/>
          <c:tx>
            <c:v>Германия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бюджета'!$B$7:$M$7</c:f>
              <c:numCache>
                <c:formatCode>#,##0.0</c:formatCode>
                <c:ptCount val="12"/>
                <c:pt idx="0">
                  <c:v>1.1000000000000001</c:v>
                </c:pt>
                <c:pt idx="1">
                  <c:v>-3.1</c:v>
                </c:pt>
                <c:pt idx="2">
                  <c:v>-3.8</c:v>
                </c:pt>
                <c:pt idx="3">
                  <c:v>-4.2</c:v>
                </c:pt>
                <c:pt idx="4">
                  <c:v>-3.8</c:v>
                </c:pt>
                <c:pt idx="5">
                  <c:v>-3.3</c:v>
                </c:pt>
                <c:pt idx="6">
                  <c:v>-1.6</c:v>
                </c:pt>
                <c:pt idx="7">
                  <c:v>0.2</c:v>
                </c:pt>
                <c:pt idx="8">
                  <c:v>-0.1</c:v>
                </c:pt>
                <c:pt idx="9">
                  <c:v>-3.2</c:v>
                </c:pt>
                <c:pt idx="10">
                  <c:v>-4.3</c:v>
                </c:pt>
                <c:pt idx="11">
                  <c:v>-1</c:v>
                </c:pt>
              </c:numCache>
            </c:numRef>
          </c:val>
          <c:smooth val="0"/>
        </c:ser>
        <c:ser>
          <c:idx val="2"/>
          <c:order val="2"/>
          <c:tx>
            <c:v>Франция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бюджета'!$B$12:$M$12</c:f>
              <c:numCache>
                <c:formatCode>#,##0.0</c:formatCode>
                <c:ptCount val="12"/>
                <c:pt idx="0">
                  <c:v>-1.5</c:v>
                </c:pt>
                <c:pt idx="1">
                  <c:v>-1.5</c:v>
                </c:pt>
                <c:pt idx="2">
                  <c:v>-3.1</c:v>
                </c:pt>
                <c:pt idx="3">
                  <c:v>-4.0999999999999996</c:v>
                </c:pt>
                <c:pt idx="4">
                  <c:v>-3.6</c:v>
                </c:pt>
                <c:pt idx="5">
                  <c:v>-2.9</c:v>
                </c:pt>
                <c:pt idx="6">
                  <c:v>-2.2999999999999998</c:v>
                </c:pt>
                <c:pt idx="7">
                  <c:v>-2.7</c:v>
                </c:pt>
                <c:pt idx="8">
                  <c:v>-3.3</c:v>
                </c:pt>
                <c:pt idx="9">
                  <c:v>-7.5</c:v>
                </c:pt>
                <c:pt idx="10">
                  <c:v>-7.1</c:v>
                </c:pt>
                <c:pt idx="11">
                  <c:v>-5.2</c:v>
                </c:pt>
              </c:numCache>
            </c:numRef>
          </c:val>
          <c:smooth val="0"/>
        </c:ser>
        <c:ser>
          <c:idx val="3"/>
          <c:order val="3"/>
          <c:tx>
            <c:v>Великобритания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бюджета'!$B$29:$M$29</c:f>
              <c:numCache>
                <c:formatCode>#,##0.0</c:formatCode>
                <c:ptCount val="12"/>
                <c:pt idx="0">
                  <c:v>3.6</c:v>
                </c:pt>
                <c:pt idx="1">
                  <c:v>0.5</c:v>
                </c:pt>
                <c:pt idx="2">
                  <c:v>-2.1</c:v>
                </c:pt>
                <c:pt idx="3">
                  <c:v>-3.4</c:v>
                </c:pt>
                <c:pt idx="4">
                  <c:v>-3.5</c:v>
                </c:pt>
                <c:pt idx="5">
                  <c:v>-3.4</c:v>
                </c:pt>
                <c:pt idx="6">
                  <c:v>-2.7</c:v>
                </c:pt>
                <c:pt idx="7">
                  <c:v>-2.7</c:v>
                </c:pt>
                <c:pt idx="8">
                  <c:v>-5</c:v>
                </c:pt>
                <c:pt idx="9">
                  <c:v>-11.5</c:v>
                </c:pt>
                <c:pt idx="10">
                  <c:v>-10.200000000000001</c:v>
                </c:pt>
                <c:pt idx="11">
                  <c:v>-8.3000000000000007</c:v>
                </c:pt>
              </c:numCache>
            </c:numRef>
          </c:val>
          <c:smooth val="0"/>
        </c:ser>
        <c:ser>
          <c:idx val="4"/>
          <c:order val="4"/>
          <c:tx>
            <c:v>Греция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бюджета'!$B$10:$M$10</c:f>
              <c:numCache>
                <c:formatCode>#,##0.0</c:formatCode>
                <c:ptCount val="12"/>
                <c:pt idx="0">
                  <c:v>-3.7</c:v>
                </c:pt>
                <c:pt idx="1">
                  <c:v>-4.5</c:v>
                </c:pt>
                <c:pt idx="2">
                  <c:v>-4.8</c:v>
                </c:pt>
                <c:pt idx="3">
                  <c:v>-5.6</c:v>
                </c:pt>
                <c:pt idx="4">
                  <c:v>-7.5</c:v>
                </c:pt>
                <c:pt idx="5">
                  <c:v>-5.2</c:v>
                </c:pt>
                <c:pt idx="6">
                  <c:v>-5.7</c:v>
                </c:pt>
                <c:pt idx="7">
                  <c:v>-6.5</c:v>
                </c:pt>
                <c:pt idx="8">
                  <c:v>-9.8000000000000007</c:v>
                </c:pt>
                <c:pt idx="9">
                  <c:v>-15.6</c:v>
                </c:pt>
                <c:pt idx="10">
                  <c:v>-10.3</c:v>
                </c:pt>
                <c:pt idx="11">
                  <c:v>-9.1</c:v>
                </c:pt>
              </c:numCache>
            </c:numRef>
          </c:val>
          <c:smooth val="0"/>
        </c:ser>
        <c:ser>
          <c:idx val="5"/>
          <c:order val="5"/>
          <c:tx>
            <c:v>Ирландия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бюджета'!$B$9:$M$9</c:f>
              <c:numCache>
                <c:formatCode>#,##0.0</c:formatCode>
                <c:ptCount val="12"/>
                <c:pt idx="0">
                  <c:v>4.7</c:v>
                </c:pt>
                <c:pt idx="1">
                  <c:v>0.9</c:v>
                </c:pt>
                <c:pt idx="2">
                  <c:v>-0.4</c:v>
                </c:pt>
                <c:pt idx="3">
                  <c:v>0.4</c:v>
                </c:pt>
                <c:pt idx="4">
                  <c:v>1.4</c:v>
                </c:pt>
                <c:pt idx="5">
                  <c:v>1.7</c:v>
                </c:pt>
                <c:pt idx="6">
                  <c:v>2.9</c:v>
                </c:pt>
                <c:pt idx="7">
                  <c:v>0.1</c:v>
                </c:pt>
                <c:pt idx="8">
                  <c:v>-7.3</c:v>
                </c:pt>
                <c:pt idx="9">
                  <c:v>-14</c:v>
                </c:pt>
                <c:pt idx="10">
                  <c:v>-31.2</c:v>
                </c:pt>
                <c:pt idx="11">
                  <c:v>-13.1</c:v>
                </c:pt>
              </c:numCache>
            </c:numRef>
          </c:val>
          <c:smooth val="0"/>
        </c:ser>
        <c:ser>
          <c:idx val="6"/>
          <c:order val="6"/>
          <c:tx>
            <c:v>Испания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бюджета'!$B$11:$M$11</c:f>
              <c:numCache>
                <c:formatCode>#,##0.0</c:formatCode>
                <c:ptCount val="12"/>
                <c:pt idx="0">
                  <c:v>-0.9</c:v>
                </c:pt>
                <c:pt idx="1">
                  <c:v>-0.5</c:v>
                </c:pt>
                <c:pt idx="2">
                  <c:v>-0.2</c:v>
                </c:pt>
                <c:pt idx="3">
                  <c:v>-0.30000000000000032</c:v>
                </c:pt>
                <c:pt idx="4">
                  <c:v>-0.1</c:v>
                </c:pt>
                <c:pt idx="5">
                  <c:v>1.3</c:v>
                </c:pt>
                <c:pt idx="6">
                  <c:v>2.4</c:v>
                </c:pt>
                <c:pt idx="7">
                  <c:v>1.9000000000000001</c:v>
                </c:pt>
                <c:pt idx="8">
                  <c:v>-4.5</c:v>
                </c:pt>
                <c:pt idx="9">
                  <c:v>-11.2</c:v>
                </c:pt>
                <c:pt idx="10">
                  <c:v>-9.3000000000000007</c:v>
                </c:pt>
                <c:pt idx="11">
                  <c:v>-8.5</c:v>
                </c:pt>
              </c:numCache>
            </c:numRef>
          </c:val>
          <c:smooth val="0"/>
        </c:ser>
        <c:ser>
          <c:idx val="7"/>
          <c:order val="7"/>
          <c:tx>
            <c:v>Словакия</c:v>
          </c:tx>
          <c:marker>
            <c:symbol val="none"/>
          </c:marker>
          <c:cat>
            <c:strRef>
              <c:f>'дефицит бюджета'!$B$1:$M$1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бюджета'!$B$26:$M$26</c:f>
              <c:numCache>
                <c:formatCode>#,##0.0</c:formatCode>
                <c:ptCount val="12"/>
                <c:pt idx="0">
                  <c:v>-12.3</c:v>
                </c:pt>
                <c:pt idx="1">
                  <c:v>-6.5</c:v>
                </c:pt>
                <c:pt idx="2">
                  <c:v>-8.2000000000000011</c:v>
                </c:pt>
                <c:pt idx="3">
                  <c:v>-2.8</c:v>
                </c:pt>
                <c:pt idx="4">
                  <c:v>-2.4</c:v>
                </c:pt>
                <c:pt idx="5">
                  <c:v>-2.8</c:v>
                </c:pt>
                <c:pt idx="6">
                  <c:v>-3.2</c:v>
                </c:pt>
                <c:pt idx="7">
                  <c:v>-1.8</c:v>
                </c:pt>
                <c:pt idx="8">
                  <c:v>-2.1</c:v>
                </c:pt>
                <c:pt idx="9">
                  <c:v>-8</c:v>
                </c:pt>
                <c:pt idx="10">
                  <c:v>-7.7</c:v>
                </c:pt>
                <c:pt idx="11">
                  <c:v>-4.8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408512"/>
        <c:axId val="161410048"/>
      </c:lineChart>
      <c:catAx>
        <c:axId val="16140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410048"/>
        <c:crosses val="autoZero"/>
        <c:auto val="1"/>
        <c:lblAlgn val="ctr"/>
        <c:lblOffset val="100"/>
        <c:noMultiLvlLbl val="0"/>
      </c:catAx>
      <c:valAx>
        <c:axId val="16141004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40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Европейский союз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бюджета'!$B$33:$M$33</c:f>
              <c:numCache>
                <c:formatCode>#,##0.0</c:formatCode>
                <c:ptCount val="12"/>
                <c:pt idx="0">
                  <c:v>61.9</c:v>
                </c:pt>
                <c:pt idx="1">
                  <c:v>61</c:v>
                </c:pt>
                <c:pt idx="2">
                  <c:v>60.4</c:v>
                </c:pt>
                <c:pt idx="3">
                  <c:v>61.9</c:v>
                </c:pt>
                <c:pt idx="4">
                  <c:v>62.3</c:v>
                </c:pt>
                <c:pt idx="5">
                  <c:v>62.8</c:v>
                </c:pt>
                <c:pt idx="6">
                  <c:v>61.5</c:v>
                </c:pt>
                <c:pt idx="7">
                  <c:v>59</c:v>
                </c:pt>
                <c:pt idx="8">
                  <c:v>62.5</c:v>
                </c:pt>
                <c:pt idx="9">
                  <c:v>74.8</c:v>
                </c:pt>
                <c:pt idx="10">
                  <c:v>80</c:v>
                </c:pt>
                <c:pt idx="11">
                  <c:v>82.5</c:v>
                </c:pt>
              </c:numCache>
            </c:numRef>
          </c:val>
          <c:smooth val="0"/>
        </c:ser>
        <c:ser>
          <c:idx val="1"/>
          <c:order val="1"/>
          <c:tx>
            <c:v>Германия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бюджета'!$B$38:$M$38</c:f>
              <c:numCache>
                <c:formatCode>#,##0.0</c:formatCode>
                <c:ptCount val="12"/>
                <c:pt idx="0">
                  <c:v>60.2</c:v>
                </c:pt>
                <c:pt idx="1">
                  <c:v>59.1</c:v>
                </c:pt>
                <c:pt idx="2">
                  <c:v>60.7</c:v>
                </c:pt>
                <c:pt idx="3">
                  <c:v>64.400000000000006</c:v>
                </c:pt>
                <c:pt idx="4">
                  <c:v>66.3</c:v>
                </c:pt>
                <c:pt idx="5">
                  <c:v>68.599999999999994</c:v>
                </c:pt>
                <c:pt idx="6">
                  <c:v>68.099999999999994</c:v>
                </c:pt>
                <c:pt idx="7">
                  <c:v>65.2</c:v>
                </c:pt>
                <c:pt idx="8">
                  <c:v>66.7</c:v>
                </c:pt>
                <c:pt idx="9">
                  <c:v>74.400000000000006</c:v>
                </c:pt>
                <c:pt idx="10">
                  <c:v>83</c:v>
                </c:pt>
                <c:pt idx="11">
                  <c:v>81.2</c:v>
                </c:pt>
              </c:numCache>
            </c:numRef>
          </c:val>
          <c:smooth val="0"/>
        </c:ser>
        <c:ser>
          <c:idx val="2"/>
          <c:order val="2"/>
          <c:tx>
            <c:v>Греция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бюджета'!$B$41:$M$41</c:f>
              <c:numCache>
                <c:formatCode>#,##0.0</c:formatCode>
                <c:ptCount val="12"/>
                <c:pt idx="0">
                  <c:v>103.4</c:v>
                </c:pt>
                <c:pt idx="1">
                  <c:v>103.7</c:v>
                </c:pt>
                <c:pt idx="2">
                  <c:v>101.7</c:v>
                </c:pt>
                <c:pt idx="3">
                  <c:v>97.4</c:v>
                </c:pt>
                <c:pt idx="4">
                  <c:v>98.6</c:v>
                </c:pt>
                <c:pt idx="5">
                  <c:v>100</c:v>
                </c:pt>
                <c:pt idx="6">
                  <c:v>106.1</c:v>
                </c:pt>
                <c:pt idx="7">
                  <c:v>107.4</c:v>
                </c:pt>
                <c:pt idx="8">
                  <c:v>113</c:v>
                </c:pt>
                <c:pt idx="9">
                  <c:v>129.4</c:v>
                </c:pt>
                <c:pt idx="10">
                  <c:v>145</c:v>
                </c:pt>
                <c:pt idx="11">
                  <c:v>165.3</c:v>
                </c:pt>
              </c:numCache>
            </c:numRef>
          </c:val>
          <c:smooth val="0"/>
        </c:ser>
        <c:ser>
          <c:idx val="3"/>
          <c:order val="3"/>
          <c:tx>
            <c:v>Ирландия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бюджета'!$B$40:$M$40</c:f>
              <c:numCache>
                <c:formatCode>#,##0.0</c:formatCode>
                <c:ptCount val="12"/>
                <c:pt idx="0">
                  <c:v>37.5</c:v>
                </c:pt>
                <c:pt idx="1">
                  <c:v>35.200000000000003</c:v>
                </c:pt>
                <c:pt idx="2">
                  <c:v>31.9</c:v>
                </c:pt>
                <c:pt idx="3">
                  <c:v>30.7</c:v>
                </c:pt>
                <c:pt idx="4">
                  <c:v>29.4</c:v>
                </c:pt>
                <c:pt idx="5">
                  <c:v>27.2</c:v>
                </c:pt>
                <c:pt idx="6">
                  <c:v>24.7</c:v>
                </c:pt>
                <c:pt idx="7">
                  <c:v>24.8</c:v>
                </c:pt>
                <c:pt idx="8">
                  <c:v>44.2</c:v>
                </c:pt>
                <c:pt idx="9">
                  <c:v>65.099999999999994</c:v>
                </c:pt>
                <c:pt idx="10">
                  <c:v>92.5</c:v>
                </c:pt>
                <c:pt idx="11">
                  <c:v>108.2</c:v>
                </c:pt>
              </c:numCache>
            </c:numRef>
          </c:val>
          <c:smooth val="0"/>
        </c:ser>
        <c:ser>
          <c:idx val="4"/>
          <c:order val="4"/>
          <c:tx>
            <c:v>Испания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бюджета'!$B$42:$M$42</c:f>
              <c:numCache>
                <c:formatCode>#,##0.0</c:formatCode>
                <c:ptCount val="12"/>
                <c:pt idx="0">
                  <c:v>59.4</c:v>
                </c:pt>
                <c:pt idx="1">
                  <c:v>55.6</c:v>
                </c:pt>
                <c:pt idx="2">
                  <c:v>52.6</c:v>
                </c:pt>
                <c:pt idx="3">
                  <c:v>48.8</c:v>
                </c:pt>
                <c:pt idx="4">
                  <c:v>46.3</c:v>
                </c:pt>
                <c:pt idx="5">
                  <c:v>43.1</c:v>
                </c:pt>
                <c:pt idx="6">
                  <c:v>39.6</c:v>
                </c:pt>
                <c:pt idx="7">
                  <c:v>36.200000000000003</c:v>
                </c:pt>
                <c:pt idx="8">
                  <c:v>40.200000000000003</c:v>
                </c:pt>
                <c:pt idx="9">
                  <c:v>53.9</c:v>
                </c:pt>
                <c:pt idx="10">
                  <c:v>61.2</c:v>
                </c:pt>
                <c:pt idx="11">
                  <c:v>68.5</c:v>
                </c:pt>
              </c:numCache>
            </c:numRef>
          </c:val>
          <c:smooth val="0"/>
        </c:ser>
        <c:ser>
          <c:idx val="5"/>
          <c:order val="5"/>
          <c:tx>
            <c:v>Франция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бюджета'!$B$43:$M$43</c:f>
              <c:numCache>
                <c:formatCode>#,##0.0</c:formatCode>
                <c:ptCount val="12"/>
                <c:pt idx="0">
                  <c:v>57.3</c:v>
                </c:pt>
                <c:pt idx="1">
                  <c:v>56.9</c:v>
                </c:pt>
                <c:pt idx="2">
                  <c:v>58.8</c:v>
                </c:pt>
                <c:pt idx="3">
                  <c:v>62.9</c:v>
                </c:pt>
                <c:pt idx="4">
                  <c:v>64.900000000000006</c:v>
                </c:pt>
                <c:pt idx="5">
                  <c:v>66.400000000000006</c:v>
                </c:pt>
                <c:pt idx="6">
                  <c:v>63.7</c:v>
                </c:pt>
                <c:pt idx="7">
                  <c:v>64.2</c:v>
                </c:pt>
                <c:pt idx="8">
                  <c:v>68.2</c:v>
                </c:pt>
                <c:pt idx="9">
                  <c:v>79.2</c:v>
                </c:pt>
                <c:pt idx="10">
                  <c:v>82.3</c:v>
                </c:pt>
                <c:pt idx="11">
                  <c:v>85.8</c:v>
                </c:pt>
              </c:numCache>
            </c:numRef>
          </c:val>
          <c:smooth val="0"/>
        </c:ser>
        <c:ser>
          <c:idx val="6"/>
          <c:order val="6"/>
          <c:tx>
            <c:v>Италия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бюджета'!$B$44:$M$44</c:f>
              <c:numCache>
                <c:formatCode>#,##0.0</c:formatCode>
                <c:ptCount val="12"/>
                <c:pt idx="0">
                  <c:v>108.5</c:v>
                </c:pt>
                <c:pt idx="1">
                  <c:v>108.2</c:v>
                </c:pt>
                <c:pt idx="2">
                  <c:v>105.1</c:v>
                </c:pt>
                <c:pt idx="3">
                  <c:v>103.9</c:v>
                </c:pt>
                <c:pt idx="4">
                  <c:v>103.4</c:v>
                </c:pt>
                <c:pt idx="5">
                  <c:v>105.4</c:v>
                </c:pt>
                <c:pt idx="6">
                  <c:v>106.1</c:v>
                </c:pt>
                <c:pt idx="7">
                  <c:v>103.1</c:v>
                </c:pt>
                <c:pt idx="8">
                  <c:v>105.7</c:v>
                </c:pt>
                <c:pt idx="9">
                  <c:v>116</c:v>
                </c:pt>
                <c:pt idx="10">
                  <c:v>118.6</c:v>
                </c:pt>
                <c:pt idx="11">
                  <c:v>120.1</c:v>
                </c:pt>
              </c:numCache>
            </c:numRef>
          </c:val>
          <c:smooth val="0"/>
        </c:ser>
        <c:ser>
          <c:idx val="7"/>
          <c:order val="7"/>
          <c:tx>
            <c:v>Португалия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бюджета'!$B$54:$M$54</c:f>
              <c:numCache>
                <c:formatCode>#,##0.0</c:formatCode>
                <c:ptCount val="12"/>
                <c:pt idx="0">
                  <c:v>48.5</c:v>
                </c:pt>
                <c:pt idx="1">
                  <c:v>51.2</c:v>
                </c:pt>
                <c:pt idx="2">
                  <c:v>53.8</c:v>
                </c:pt>
                <c:pt idx="3">
                  <c:v>55.9</c:v>
                </c:pt>
                <c:pt idx="4">
                  <c:v>57.6</c:v>
                </c:pt>
                <c:pt idx="5">
                  <c:v>62.8</c:v>
                </c:pt>
                <c:pt idx="6">
                  <c:v>63.9</c:v>
                </c:pt>
                <c:pt idx="7">
                  <c:v>68.3</c:v>
                </c:pt>
                <c:pt idx="8">
                  <c:v>71.599999999999994</c:v>
                </c:pt>
                <c:pt idx="9">
                  <c:v>83.1</c:v>
                </c:pt>
                <c:pt idx="10">
                  <c:v>93.3</c:v>
                </c:pt>
                <c:pt idx="11">
                  <c:v>107.8</c:v>
                </c:pt>
              </c:numCache>
            </c:numRef>
          </c:val>
          <c:smooth val="0"/>
        </c:ser>
        <c:ser>
          <c:idx val="8"/>
          <c:order val="8"/>
          <c:tx>
            <c:v>Великобритания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бюджета'!$B$60:$M$60</c:f>
              <c:numCache>
                <c:formatCode>#,##0.0</c:formatCode>
                <c:ptCount val="12"/>
                <c:pt idx="0">
                  <c:v>41</c:v>
                </c:pt>
                <c:pt idx="1">
                  <c:v>37.700000000000003</c:v>
                </c:pt>
                <c:pt idx="2">
                  <c:v>37.5</c:v>
                </c:pt>
                <c:pt idx="3">
                  <c:v>39</c:v>
                </c:pt>
                <c:pt idx="4">
                  <c:v>40.9</c:v>
                </c:pt>
                <c:pt idx="5">
                  <c:v>42.5</c:v>
                </c:pt>
                <c:pt idx="6">
                  <c:v>43.4</c:v>
                </c:pt>
                <c:pt idx="7">
                  <c:v>44.4</c:v>
                </c:pt>
                <c:pt idx="8">
                  <c:v>54.8</c:v>
                </c:pt>
                <c:pt idx="9">
                  <c:v>69.599999999999994</c:v>
                </c:pt>
                <c:pt idx="10">
                  <c:v>79.599999999999994</c:v>
                </c:pt>
                <c:pt idx="11">
                  <c:v>85.7</c:v>
                </c:pt>
              </c:numCache>
            </c:numRef>
          </c:val>
          <c:smooth val="0"/>
        </c:ser>
        <c:ser>
          <c:idx val="9"/>
          <c:order val="9"/>
          <c:tx>
            <c:v>Люксембург</c:v>
          </c:tx>
          <c:marker>
            <c:symbol val="none"/>
          </c:marker>
          <c:cat>
            <c:strRef>
              <c:f>'дефицит бюджета'!$B$32:$M$32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'дефицит бюджета'!$B$48:$M$48</c:f>
              <c:numCache>
                <c:formatCode>#,##0.0</c:formatCode>
                <c:ptCount val="12"/>
                <c:pt idx="0">
                  <c:v>6.2</c:v>
                </c:pt>
                <c:pt idx="1">
                  <c:v>6.3</c:v>
                </c:pt>
                <c:pt idx="2">
                  <c:v>6.3</c:v>
                </c:pt>
                <c:pt idx="3">
                  <c:v>6.1</c:v>
                </c:pt>
                <c:pt idx="4">
                  <c:v>6.3</c:v>
                </c:pt>
                <c:pt idx="5">
                  <c:v>6.1</c:v>
                </c:pt>
                <c:pt idx="6">
                  <c:v>6.7</c:v>
                </c:pt>
                <c:pt idx="7">
                  <c:v>6.7</c:v>
                </c:pt>
                <c:pt idx="8">
                  <c:v>13.7</c:v>
                </c:pt>
                <c:pt idx="9">
                  <c:v>14.8</c:v>
                </c:pt>
                <c:pt idx="10">
                  <c:v>19.100000000000001</c:v>
                </c:pt>
                <c:pt idx="11">
                  <c:v>18.2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535872"/>
        <c:axId val="161537408"/>
      </c:lineChart>
      <c:catAx>
        <c:axId val="16153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537408"/>
        <c:crosses val="autoZero"/>
        <c:auto val="1"/>
        <c:lblAlgn val="ctr"/>
        <c:lblOffset val="100"/>
        <c:noMultiLvlLbl val="0"/>
      </c:catAx>
      <c:valAx>
        <c:axId val="16153740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53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12729658792812"/>
          <c:y val="0.19480351414406533"/>
          <c:w val="0.79415048118985132"/>
          <c:h val="0.71236475648877606"/>
        </c:manualLayout>
      </c:layout>
      <c:lineChart>
        <c:grouping val="standard"/>
        <c:varyColors val="0"/>
        <c:ser>
          <c:idx val="0"/>
          <c:order val="0"/>
          <c:tx>
            <c:v>Европейский Союз 27</c:v>
          </c:tx>
          <c:cat>
            <c:strRef>
              <c:f>'Численность населения'!$B$1:$M$1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'Численность населения'!$B$2:$M$2</c:f>
              <c:numCache>
                <c:formatCode>#,##0</c:formatCode>
                <c:ptCount val="12"/>
                <c:pt idx="0">
                  <c:v>482767512</c:v>
                </c:pt>
                <c:pt idx="1">
                  <c:v>483797028</c:v>
                </c:pt>
                <c:pt idx="2">
                  <c:v>484635119</c:v>
                </c:pt>
                <c:pt idx="3">
                  <c:v>486646114</c:v>
                </c:pt>
                <c:pt idx="4">
                  <c:v>488797929</c:v>
                </c:pt>
                <c:pt idx="5">
                  <c:v>491134938</c:v>
                </c:pt>
                <c:pt idx="6">
                  <c:v>493210397</c:v>
                </c:pt>
                <c:pt idx="7">
                  <c:v>495291925</c:v>
                </c:pt>
                <c:pt idx="8">
                  <c:v>497686132</c:v>
                </c:pt>
                <c:pt idx="9">
                  <c:v>499686575</c:v>
                </c:pt>
                <c:pt idx="10">
                  <c:v>501104164</c:v>
                </c:pt>
                <c:pt idx="11">
                  <c:v>502476606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575872"/>
        <c:axId val="160577408"/>
      </c:lineChart>
      <c:catAx>
        <c:axId val="16057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577408"/>
        <c:crosses val="autoZero"/>
        <c:auto val="1"/>
        <c:lblAlgn val="ctr"/>
        <c:lblOffset val="100"/>
        <c:noMultiLvlLbl val="0"/>
      </c:catAx>
      <c:valAx>
        <c:axId val="1605774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0575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822179695070594E-2"/>
          <c:y val="5.1400554097404488E-2"/>
          <c:w val="0.8962129733783275"/>
          <c:h val="0.70407662583843678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spPr>
            <a:ln>
              <a:solidFill>
                <a:srgbClr val="7030A0"/>
              </a:solidFill>
            </a:ln>
          </c:spPr>
          <c:cat>
            <c:strRef>
              <c:f>Безработица!$B$1:$M$1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Безработица!$B$2:$M$2</c:f>
              <c:numCache>
                <c:formatCode>#,##0.0</c:formatCode>
                <c:ptCount val="12"/>
                <c:pt idx="0">
                  <c:v>8.8000000000000007</c:v>
                </c:pt>
                <c:pt idx="1">
                  <c:v>8.6</c:v>
                </c:pt>
                <c:pt idx="2">
                  <c:v>8.9</c:v>
                </c:pt>
                <c:pt idx="3">
                  <c:v>9.1</c:v>
                </c:pt>
                <c:pt idx="4">
                  <c:v>9.2000000000000011</c:v>
                </c:pt>
                <c:pt idx="5">
                  <c:v>9</c:v>
                </c:pt>
                <c:pt idx="6">
                  <c:v>8.3000000000000007</c:v>
                </c:pt>
                <c:pt idx="7">
                  <c:v>7.2</c:v>
                </c:pt>
                <c:pt idx="8">
                  <c:v>7.1</c:v>
                </c:pt>
                <c:pt idx="9">
                  <c:v>9</c:v>
                </c:pt>
                <c:pt idx="10">
                  <c:v>9.7000000000000011</c:v>
                </c:pt>
                <c:pt idx="11">
                  <c:v>9.7000000000000011</c:v>
                </c:pt>
              </c:numCache>
            </c:numRef>
          </c:val>
          <c:smooth val="0"/>
        </c:ser>
        <c:ser>
          <c:idx val="1"/>
          <c:order val="1"/>
          <c:tx>
            <c:v>Испания</c:v>
          </c:tx>
          <c:spPr>
            <a:ln>
              <a:solidFill>
                <a:srgbClr val="FF0000"/>
              </a:solidFill>
            </a:ln>
          </c:spPr>
          <c:cat>
            <c:strRef>
              <c:f>Безработица!$B$1:$M$1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Безработица!$B$13:$M$13</c:f>
              <c:numCache>
                <c:formatCode>#,##0.0</c:formatCode>
                <c:ptCount val="12"/>
                <c:pt idx="0">
                  <c:v>11.7</c:v>
                </c:pt>
                <c:pt idx="1">
                  <c:v>10.5</c:v>
                </c:pt>
                <c:pt idx="2">
                  <c:v>11.4</c:v>
                </c:pt>
                <c:pt idx="3">
                  <c:v>11.4</c:v>
                </c:pt>
                <c:pt idx="4">
                  <c:v>10.9</c:v>
                </c:pt>
                <c:pt idx="5">
                  <c:v>9.2000000000000011</c:v>
                </c:pt>
                <c:pt idx="6">
                  <c:v>8.5</c:v>
                </c:pt>
                <c:pt idx="7">
                  <c:v>8.3000000000000007</c:v>
                </c:pt>
                <c:pt idx="8">
                  <c:v>11.3</c:v>
                </c:pt>
                <c:pt idx="9">
                  <c:v>18</c:v>
                </c:pt>
                <c:pt idx="10">
                  <c:v>20.100000000000001</c:v>
                </c:pt>
                <c:pt idx="11">
                  <c:v>21.7</c:v>
                </c:pt>
              </c:numCache>
            </c:numRef>
          </c:val>
          <c:smooth val="0"/>
        </c:ser>
        <c:ser>
          <c:idx val="2"/>
          <c:order val="2"/>
          <c:tx>
            <c:v>Нидерланды</c:v>
          </c:tx>
          <c:spPr>
            <a:ln>
              <a:solidFill>
                <a:srgbClr val="00B050"/>
              </a:solidFill>
            </a:ln>
          </c:spPr>
          <c:cat>
            <c:strRef>
              <c:f>Безработица!$B$1:$M$1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Безработица!$B$22:$M$22</c:f>
              <c:numCache>
                <c:formatCode>#,##0.0</c:formatCode>
                <c:ptCount val="12"/>
                <c:pt idx="0">
                  <c:v>3.1</c:v>
                </c:pt>
                <c:pt idx="1">
                  <c:v>2.5</c:v>
                </c:pt>
                <c:pt idx="2">
                  <c:v>3.1</c:v>
                </c:pt>
                <c:pt idx="3">
                  <c:v>4.2</c:v>
                </c:pt>
                <c:pt idx="4">
                  <c:v>5.0999999999999996</c:v>
                </c:pt>
                <c:pt idx="5">
                  <c:v>5.3</c:v>
                </c:pt>
                <c:pt idx="6">
                  <c:v>4.4000000000000004</c:v>
                </c:pt>
                <c:pt idx="7">
                  <c:v>3.6</c:v>
                </c:pt>
                <c:pt idx="8">
                  <c:v>3.1</c:v>
                </c:pt>
                <c:pt idx="9">
                  <c:v>3.7</c:v>
                </c:pt>
                <c:pt idx="10">
                  <c:v>4.5</c:v>
                </c:pt>
                <c:pt idx="11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610944"/>
        <c:axId val="160612736"/>
      </c:lineChart>
      <c:catAx>
        <c:axId val="16061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612736"/>
        <c:crosses val="autoZero"/>
        <c:auto val="1"/>
        <c:lblAlgn val="ctr"/>
        <c:lblOffset val="100"/>
        <c:noMultiLvlLbl val="0"/>
      </c:catAx>
      <c:valAx>
        <c:axId val="16061273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061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36053447864473"/>
          <c:y val="0.84949502671389843"/>
          <c:w val="0.3252320083366203"/>
          <c:h val="0.147602374945850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907261592298E-2"/>
          <c:y val="5.1400554097404488E-2"/>
          <c:w val="0.91258092738407703"/>
          <c:h val="0.79071741032371246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cat>
            <c:strRef>
              <c:f>'Индекс цен'!$B$1:$O$1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'Индекс цен'!$B$2:$N$2</c:f>
              <c:numCache>
                <c:formatCode>#,##0.0</c:formatCode>
                <c:ptCount val="13"/>
                <c:pt idx="0">
                  <c:v>3.1</c:v>
                </c:pt>
                <c:pt idx="1">
                  <c:v>2</c:v>
                </c:pt>
                <c:pt idx="2">
                  <c:v>2.4</c:v>
                </c:pt>
                <c:pt idx="3">
                  <c:v>0.2</c:v>
                </c:pt>
                <c:pt idx="4">
                  <c:v>2.4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2.7</c:v>
                </c:pt>
                <c:pt idx="8">
                  <c:v>0.2</c:v>
                </c:pt>
                <c:pt idx="9">
                  <c:v>-1.5</c:v>
                </c:pt>
                <c:pt idx="10">
                  <c:v>2.2999999999999998</c:v>
                </c:pt>
                <c:pt idx="11">
                  <c:v>1.5</c:v>
                </c:pt>
                <c:pt idx="12">
                  <c:v>1.8</c:v>
                </c:pt>
              </c:numCache>
            </c:numRef>
          </c:val>
          <c:smooth val="0"/>
        </c:ser>
        <c:ser>
          <c:idx val="1"/>
          <c:order val="1"/>
          <c:tx>
            <c:v>Германия</c:v>
          </c:tx>
          <c:cat>
            <c:strRef>
              <c:f>'Индекс цен'!$B$1:$O$1</c:f>
              <c:strCach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strCache>
            </c:strRef>
          </c:cat>
          <c:val>
            <c:numRef>
              <c:f>'Индекс цен'!$B$9:$O$9</c:f>
              <c:numCache>
                <c:formatCode>#,##0.0</c:formatCode>
                <c:ptCount val="14"/>
                <c:pt idx="0">
                  <c:v>-0.70000000000000062</c:v>
                </c:pt>
                <c:pt idx="1">
                  <c:v>1.1000000000000001</c:v>
                </c:pt>
                <c:pt idx="2">
                  <c:v>1.4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0.60000000000000064</c:v>
                </c:pt>
                <c:pt idx="6">
                  <c:v>0.30000000000000032</c:v>
                </c:pt>
                <c:pt idx="7">
                  <c:v>1.6</c:v>
                </c:pt>
                <c:pt idx="8">
                  <c:v>0.8</c:v>
                </c:pt>
                <c:pt idx="9">
                  <c:v>1.2</c:v>
                </c:pt>
                <c:pt idx="10">
                  <c:v>0.60000000000000064</c:v>
                </c:pt>
                <c:pt idx="11">
                  <c:v>0.8</c:v>
                </c:pt>
                <c:pt idx="12">
                  <c:v>1.6</c:v>
                </c:pt>
                <c:pt idx="13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711424"/>
        <c:axId val="160712960"/>
      </c:lineChart>
      <c:catAx>
        <c:axId val="16071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712960"/>
        <c:crosses val="autoZero"/>
        <c:auto val="1"/>
        <c:lblAlgn val="ctr"/>
        <c:lblOffset val="100"/>
        <c:noMultiLvlLbl val="0"/>
      </c:catAx>
      <c:valAx>
        <c:axId val="16071296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071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786111111111132"/>
          <c:y val="0.86998651210265388"/>
          <c:w val="0.19880555555555557"/>
          <c:h val="0.12576771653543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85540799937566E-2"/>
          <c:y val="5.1400554097404488E-2"/>
          <c:w val="0.86682173562226983"/>
          <c:h val="0.67521216097987768"/>
        </c:manualLayout>
      </c:layout>
      <c:scatterChart>
        <c:scatterStyle val="lineMarker"/>
        <c:varyColors val="0"/>
        <c:ser>
          <c:idx val="0"/>
          <c:order val="0"/>
          <c:tx>
            <c:v>ЕС 15</c:v>
          </c:tx>
          <c:spPr>
            <a:ln w="28575">
              <a:noFill/>
            </a:ln>
          </c:spPr>
          <c:xVal>
            <c:numRef>
              <c:f>Безработица!$P$22:$AD$22</c:f>
              <c:numCache>
                <c:formatCode>#,##0.0</c:formatCode>
                <c:ptCount val="15"/>
                <c:pt idx="0">
                  <c:v>10</c:v>
                </c:pt>
                <c:pt idx="1">
                  <c:v>9.5</c:v>
                </c:pt>
                <c:pt idx="2">
                  <c:v>8.7000000000000011</c:v>
                </c:pt>
                <c:pt idx="3">
                  <c:v>7.9</c:v>
                </c:pt>
                <c:pt idx="4">
                  <c:v>7.3</c:v>
                </c:pt>
                <c:pt idx="5">
                  <c:v>7.7</c:v>
                </c:pt>
                <c:pt idx="6">
                  <c:v>8.1</c:v>
                </c:pt>
                <c:pt idx="7">
                  <c:v>8.3000000000000007</c:v>
                </c:pt>
                <c:pt idx="8">
                  <c:v>8.3000000000000007</c:v>
                </c:pt>
                <c:pt idx="9">
                  <c:v>7.8</c:v>
                </c:pt>
                <c:pt idx="10">
                  <c:v>7.1</c:v>
                </c:pt>
                <c:pt idx="11">
                  <c:v>7.2</c:v>
                </c:pt>
                <c:pt idx="12">
                  <c:v>9.2000000000000011</c:v>
                </c:pt>
                <c:pt idx="13">
                  <c:v>9.6</c:v>
                </c:pt>
                <c:pt idx="14">
                  <c:v>9.7000000000000011</c:v>
                </c:pt>
              </c:numCache>
            </c:numRef>
          </c:xVal>
          <c:yVal>
            <c:numRef>
              <c:f>Безработица!$P$23:$AD$23</c:f>
              <c:numCache>
                <c:formatCode>#,##0.00</c:formatCode>
                <c:ptCount val="15"/>
                <c:pt idx="0">
                  <c:v>7.3312592993371934</c:v>
                </c:pt>
                <c:pt idx="1">
                  <c:v>4.6376811594202945</c:v>
                </c:pt>
                <c:pt idx="2">
                  <c:v>2.9627845357099782</c:v>
                </c:pt>
                <c:pt idx="3">
                  <c:v>3.4623932623698792</c:v>
                </c:pt>
                <c:pt idx="4">
                  <c:v>3.1995477671000612</c:v>
                </c:pt>
                <c:pt idx="5">
                  <c:v>2.5197195442594191</c:v>
                </c:pt>
                <c:pt idx="6">
                  <c:v>2.1478948493267969</c:v>
                </c:pt>
                <c:pt idx="7">
                  <c:v>2.2805732817240347</c:v>
                </c:pt>
                <c:pt idx="8">
                  <c:v>2.2808632504858402</c:v>
                </c:pt>
                <c:pt idx="9">
                  <c:v>2.3100000000000023</c:v>
                </c:pt>
                <c:pt idx="10">
                  <c:v>2.3653601798455677</c:v>
                </c:pt>
                <c:pt idx="11">
                  <c:v>3.6570228205862678</c:v>
                </c:pt>
                <c:pt idx="12">
                  <c:v>0.98563006632276451</c:v>
                </c:pt>
                <c:pt idx="13">
                  <c:v>2.0797227036395158</c:v>
                </c:pt>
                <c:pt idx="14">
                  <c:v>3.1007059244035373</c:v>
                </c:pt>
              </c:numCache>
            </c:numRef>
          </c:yVal>
          <c:smooth val="0"/>
        </c:ser>
        <c:ser>
          <c:idx val="1"/>
          <c:order val="1"/>
          <c:tx>
            <c:v>Германия</c:v>
          </c:tx>
          <c:spPr>
            <a:ln w="28575">
              <a:noFill/>
            </a:ln>
          </c:spPr>
          <c:marker>
            <c:symbol val="plus"/>
            <c:size val="7"/>
          </c:marker>
          <c:xVal>
            <c:numRef>
              <c:f>Безработица!$P$27:$AD$27</c:f>
              <c:numCache>
                <c:formatCode>#,##0.0</c:formatCode>
                <c:ptCount val="15"/>
                <c:pt idx="0">
                  <c:v>9.7000000000000011</c:v>
                </c:pt>
                <c:pt idx="1">
                  <c:v>9.4</c:v>
                </c:pt>
                <c:pt idx="2">
                  <c:v>8.6</c:v>
                </c:pt>
                <c:pt idx="3">
                  <c:v>8</c:v>
                </c:pt>
                <c:pt idx="4">
                  <c:v>7.9</c:v>
                </c:pt>
                <c:pt idx="5">
                  <c:v>8.7000000000000011</c:v>
                </c:pt>
                <c:pt idx="6">
                  <c:v>9.8000000000000007</c:v>
                </c:pt>
                <c:pt idx="7">
                  <c:v>10.5</c:v>
                </c:pt>
                <c:pt idx="8">
                  <c:v>11.3</c:v>
                </c:pt>
                <c:pt idx="9">
                  <c:v>10.3</c:v>
                </c:pt>
                <c:pt idx="10">
                  <c:v>8.7000000000000011</c:v>
                </c:pt>
                <c:pt idx="11">
                  <c:v>7.5</c:v>
                </c:pt>
                <c:pt idx="12">
                  <c:v>7.8</c:v>
                </c:pt>
                <c:pt idx="13">
                  <c:v>7.1</c:v>
                </c:pt>
                <c:pt idx="14">
                  <c:v>5.9</c:v>
                </c:pt>
              </c:numCache>
            </c:numRef>
          </c:xVal>
          <c:yVal>
            <c:numRef>
              <c:f>Безработица!$P$28:$AD$28</c:f>
              <c:numCache>
                <c:formatCode>#,##0.0</c:formatCode>
                <c:ptCount val="15"/>
                <c:pt idx="0">
                  <c:v>1.580135440180594</c:v>
                </c:pt>
                <c:pt idx="1">
                  <c:v>0.55555555555555569</c:v>
                </c:pt>
                <c:pt idx="2">
                  <c:v>0.66298342541435862</c:v>
                </c:pt>
                <c:pt idx="3">
                  <c:v>1.427003293084526</c:v>
                </c:pt>
                <c:pt idx="4">
                  <c:v>1.839826839826828</c:v>
                </c:pt>
                <c:pt idx="5">
                  <c:v>1.3815090329436892</c:v>
                </c:pt>
                <c:pt idx="6">
                  <c:v>1.0482180293501104</c:v>
                </c:pt>
                <c:pt idx="7">
                  <c:v>1.7634854771784114</c:v>
                </c:pt>
                <c:pt idx="8">
                  <c:v>1.9367991845056123</c:v>
                </c:pt>
                <c:pt idx="9">
                  <c:v>1.7999999999999894</c:v>
                </c:pt>
                <c:pt idx="10">
                  <c:v>2.2593320235756358</c:v>
                </c:pt>
                <c:pt idx="11">
                  <c:v>2.7857829010566819</c:v>
                </c:pt>
                <c:pt idx="12">
                  <c:v>0.18691588785047186</c:v>
                </c:pt>
                <c:pt idx="13">
                  <c:v>1.1194029850746294</c:v>
                </c:pt>
                <c:pt idx="14">
                  <c:v>2.4907749077490671</c:v>
                </c:pt>
              </c:numCache>
            </c:numRef>
          </c:yVal>
          <c:smooth val="0"/>
        </c:ser>
        <c:ser>
          <c:idx val="2"/>
          <c:order val="2"/>
          <c:tx>
            <c:v>Великобритания</c:v>
          </c:tx>
          <c:spPr>
            <a:ln w="28575">
              <a:noFill/>
            </a:ln>
          </c:spPr>
          <c:marker>
            <c:symbol val="star"/>
            <c:size val="7"/>
          </c:marker>
          <c:xVal>
            <c:numRef>
              <c:f>Безработица!$P$32:$AD$32</c:f>
              <c:numCache>
                <c:formatCode>#,##0.0</c:formatCode>
                <c:ptCount val="15"/>
                <c:pt idx="0">
                  <c:v>6.8</c:v>
                </c:pt>
                <c:pt idx="1">
                  <c:v>6.1</c:v>
                </c:pt>
                <c:pt idx="2">
                  <c:v>5.9</c:v>
                </c:pt>
                <c:pt idx="3">
                  <c:v>5.4</c:v>
                </c:pt>
                <c:pt idx="4">
                  <c:v>5</c:v>
                </c:pt>
                <c:pt idx="5">
                  <c:v>5.0999999999999996</c:v>
                </c:pt>
                <c:pt idx="6">
                  <c:v>5</c:v>
                </c:pt>
                <c:pt idx="7">
                  <c:v>4.7</c:v>
                </c:pt>
                <c:pt idx="8">
                  <c:v>4.8</c:v>
                </c:pt>
                <c:pt idx="9">
                  <c:v>5.4</c:v>
                </c:pt>
                <c:pt idx="10">
                  <c:v>5.3</c:v>
                </c:pt>
                <c:pt idx="11">
                  <c:v>5.6</c:v>
                </c:pt>
                <c:pt idx="12">
                  <c:v>7.6</c:v>
                </c:pt>
                <c:pt idx="13">
                  <c:v>7.8</c:v>
                </c:pt>
                <c:pt idx="14">
                  <c:v>8</c:v>
                </c:pt>
              </c:numCache>
            </c:numRef>
          </c:xVal>
          <c:yVal>
            <c:numRef>
              <c:f>Безработица!$P$33:$AD$33</c:f>
              <c:numCache>
                <c:formatCode>General</c:formatCode>
                <c:ptCount val="15"/>
                <c:pt idx="0">
                  <c:v>1.8161180476731085</c:v>
                </c:pt>
                <c:pt idx="1">
                  <c:v>1.560758082497204</c:v>
                </c:pt>
                <c:pt idx="2">
                  <c:v>1.3172338090011009</c:v>
                </c:pt>
                <c:pt idx="3">
                  <c:v>0.86673889490790601</c:v>
                </c:pt>
                <c:pt idx="4">
                  <c:v>1.1815252416756268</c:v>
                </c:pt>
                <c:pt idx="5">
                  <c:v>1.2738853503184693</c:v>
                </c:pt>
                <c:pt idx="6">
                  <c:v>1.362683438155134</c:v>
                </c:pt>
                <c:pt idx="7">
                  <c:v>1.3443640124095098</c:v>
                </c:pt>
                <c:pt idx="8">
                  <c:v>2.0408163265306132</c:v>
                </c:pt>
                <c:pt idx="9">
                  <c:v>2.2999999999999972</c:v>
                </c:pt>
                <c:pt idx="10">
                  <c:v>2.3460410557184797</c:v>
                </c:pt>
                <c:pt idx="11">
                  <c:v>3.6294173829990442</c:v>
                </c:pt>
                <c:pt idx="12">
                  <c:v>2.1198156682027625</c:v>
                </c:pt>
                <c:pt idx="13">
                  <c:v>3.3393501805054173</c:v>
                </c:pt>
                <c:pt idx="14">
                  <c:v>4.4541484716157145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722304"/>
        <c:axId val="160752768"/>
      </c:scatterChart>
      <c:valAx>
        <c:axId val="160722304"/>
        <c:scaling>
          <c:orientation val="minMax"/>
        </c:scaling>
        <c:delete val="0"/>
        <c:axPos val="b"/>
        <c:numFmt formatCode="#,##0.0" sourceLinked="1"/>
        <c:majorTickMark val="out"/>
        <c:minorTickMark val="none"/>
        <c:tickLblPos val="nextTo"/>
        <c:crossAx val="160752768"/>
        <c:crosses val="autoZero"/>
        <c:crossBetween val="midCat"/>
      </c:valAx>
      <c:valAx>
        <c:axId val="160752768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  <a:prstDash val="sysDot"/>
            </a:ln>
          </c:spPr>
        </c:majorGridlines>
        <c:numFmt formatCode="#,##0.00" sourceLinked="1"/>
        <c:majorTickMark val="out"/>
        <c:minorTickMark val="none"/>
        <c:tickLblPos val="nextTo"/>
        <c:crossAx val="160722304"/>
        <c:crosses val="autoZero"/>
        <c:crossBetween val="midCat"/>
      </c:valAx>
      <c:spPr>
        <a:noFill/>
      </c:spPr>
    </c:plotArea>
    <c:legend>
      <c:legendPos val="r"/>
      <c:layout>
        <c:manualLayout>
          <c:xMode val="edge"/>
          <c:yMode val="edge"/>
          <c:x val="0.39455069883049293"/>
          <c:y val="0.81865246436032235"/>
          <c:w val="0.21880479492302271"/>
          <c:h val="0.181180719756969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19072615923014E-2"/>
          <c:y val="5.1400554097404488E-2"/>
          <c:w val="0.89992804024496953"/>
          <c:h val="0.69373067949839906"/>
        </c:manualLayout>
      </c:layout>
      <c:lineChart>
        <c:grouping val="standard"/>
        <c:varyColors val="0"/>
        <c:ser>
          <c:idx val="0"/>
          <c:order val="0"/>
          <c:tx>
            <c:strRef>
              <c:f>ВВП!$A$37</c:f>
              <c:strCache>
                <c:ptCount val="1"/>
                <c:pt idx="0">
                  <c:v>ЕС 27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ВВП!$B$1:$M$1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ВВП!$B$37:$M$37</c:f>
              <c:numCache>
                <c:formatCode>General</c:formatCode>
                <c:ptCount val="12"/>
                <c:pt idx="0">
                  <c:v>0.64809450217885334</c:v>
                </c:pt>
                <c:pt idx="1">
                  <c:v>0.62158512635727192</c:v>
                </c:pt>
                <c:pt idx="2">
                  <c:v>0.62200731141002463</c:v>
                </c:pt>
                <c:pt idx="3">
                  <c:v>0.63796048278295259</c:v>
                </c:pt>
                <c:pt idx="4">
                  <c:v>0.63131872419568935</c:v>
                </c:pt>
                <c:pt idx="5">
                  <c:v>0.63737343974456262</c:v>
                </c:pt>
                <c:pt idx="6">
                  <c:v>0.64453253620495976</c:v>
                </c:pt>
                <c:pt idx="7">
                  <c:v>0.64018248822786317</c:v>
                </c:pt>
                <c:pt idx="8">
                  <c:v>0.63667117164200415</c:v>
                </c:pt>
                <c:pt idx="9">
                  <c:v>0.63609314579634357</c:v>
                </c:pt>
                <c:pt idx="10">
                  <c:v>0.64533373766082813</c:v>
                </c:pt>
                <c:pt idx="11">
                  <c:v>0.65463758177696263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ВВП!$A$38</c:f>
              <c:strCache>
                <c:ptCount val="1"/>
                <c:pt idx="0">
                  <c:v>ЕС 15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ВВП!$B$1:$M$1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ВВП!$B$38:$M$38</c:f>
              <c:numCache>
                <c:formatCode>General</c:formatCode>
                <c:ptCount val="12"/>
                <c:pt idx="0">
                  <c:v>0.46453230810543972</c:v>
                </c:pt>
                <c:pt idx="1">
                  <c:v>0.45497125593205562</c:v>
                </c:pt>
                <c:pt idx="2">
                  <c:v>0.46213724311056126</c:v>
                </c:pt>
                <c:pt idx="3">
                  <c:v>0.47992300969853002</c:v>
                </c:pt>
                <c:pt idx="4">
                  <c:v>0.48267023430696432</c:v>
                </c:pt>
                <c:pt idx="5">
                  <c:v>0.50948694456988797</c:v>
                </c:pt>
                <c:pt idx="6">
                  <c:v>0.53324202783789709</c:v>
                </c:pt>
                <c:pt idx="7">
                  <c:v>0.55206440406515123</c:v>
                </c:pt>
                <c:pt idx="8">
                  <c:v>0.57256149208288765</c:v>
                </c:pt>
                <c:pt idx="9">
                  <c:v>0.56035923522688125</c:v>
                </c:pt>
                <c:pt idx="10">
                  <c:v>0.57524981707650757</c:v>
                </c:pt>
                <c:pt idx="11">
                  <c:v>0.61206305770705349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ВВП!$A$39</c:f>
              <c:strCache>
                <c:ptCount val="1"/>
                <c:pt idx="0">
                  <c:v>ЕС 12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ВВП!$B$1:$M$1</c:f>
              <c:strCach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strCache>
            </c:strRef>
          </c:cat>
          <c:val>
            <c:numRef>
              <c:f>ВВП!$B$39:$M$39</c:f>
              <c:numCache>
                <c:formatCode>General</c:formatCode>
                <c:ptCount val="12"/>
                <c:pt idx="0">
                  <c:v>0.66626424525200434</c:v>
                </c:pt>
                <c:pt idx="1">
                  <c:v>0.63507695393373664</c:v>
                </c:pt>
                <c:pt idx="2">
                  <c:v>0.60226803316791011</c:v>
                </c:pt>
                <c:pt idx="3">
                  <c:v>0.58826567158049692</c:v>
                </c:pt>
                <c:pt idx="4">
                  <c:v>0.55955944368923394</c:v>
                </c:pt>
                <c:pt idx="5">
                  <c:v>0.50878462082456066</c:v>
                </c:pt>
                <c:pt idx="6">
                  <c:v>0.46856800586026676</c:v>
                </c:pt>
                <c:pt idx="7">
                  <c:v>0.41646349748932232</c:v>
                </c:pt>
                <c:pt idx="8">
                  <c:v>0.39582235449209452</c:v>
                </c:pt>
                <c:pt idx="9">
                  <c:v>0.44247241411173677</c:v>
                </c:pt>
                <c:pt idx="10">
                  <c:v>0.42818788743392078</c:v>
                </c:pt>
                <c:pt idx="11">
                  <c:v>0.3686860259883174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983296"/>
        <c:axId val="160989184"/>
      </c:lineChart>
      <c:catAx>
        <c:axId val="16098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989184"/>
        <c:crosses val="autoZero"/>
        <c:auto val="1"/>
        <c:lblAlgn val="ctr"/>
        <c:lblOffset val="100"/>
        <c:noMultiLvlLbl val="0"/>
      </c:catAx>
      <c:valAx>
        <c:axId val="1609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98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329164736760968"/>
          <c:y val="0.8373870748673895"/>
          <c:w val="0.1461528883842082"/>
          <c:h val="0.158558816511572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5.1400554097404488E-2"/>
          <c:w val="0.91519203849519115"/>
          <c:h val="0.68910104986876641"/>
        </c:manualLayout>
      </c:layout>
      <c:lineChart>
        <c:grouping val="standard"/>
        <c:varyColors val="0"/>
        <c:ser>
          <c:idx val="0"/>
          <c:order val="0"/>
          <c:tx>
            <c:strRef>
              <c:f>'Коэффициент Лоренца Джини'!$A$17</c:f>
              <c:strCache>
                <c:ptCount val="1"/>
                <c:pt idx="0">
                  <c:v>ЕС 27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cat>
            <c:numRef>
              <c:f>'Коэффициент Лоренца Джини'!$B$16:$G$16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'Коэффициент Лоренца Джини'!$B$17:$G$17</c:f>
              <c:numCache>
                <c:formatCode>General</c:formatCode>
                <c:ptCount val="6"/>
                <c:pt idx="0">
                  <c:v>30.6</c:v>
                </c:pt>
                <c:pt idx="1">
                  <c:v>30.2</c:v>
                </c:pt>
                <c:pt idx="2">
                  <c:v>30.6</c:v>
                </c:pt>
                <c:pt idx="3">
                  <c:v>30.7</c:v>
                </c:pt>
                <c:pt idx="4">
                  <c:v>30.4</c:v>
                </c:pt>
                <c:pt idx="5">
                  <c:v>30.5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'Коэффициент Лоренца Джини'!$A$18</c:f>
              <c:strCache>
                <c:ptCount val="1"/>
                <c:pt idx="0">
                  <c:v>ЕС 15</c:v>
                </c:pt>
              </c:strCache>
            </c:strRef>
          </c:tx>
          <c:cat>
            <c:numRef>
              <c:f>'Коэффициент Лоренца Джини'!$B$16:$G$16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'Коэффициент Лоренца Джини'!$B$18:$G$18</c:f>
              <c:numCache>
                <c:formatCode>General</c:formatCode>
                <c:ptCount val="6"/>
                <c:pt idx="0" formatCode="0.0">
                  <c:v>29.9</c:v>
                </c:pt>
                <c:pt idx="1">
                  <c:v>29.5</c:v>
                </c:pt>
                <c:pt idx="2">
                  <c:v>30.2</c:v>
                </c:pt>
                <c:pt idx="3">
                  <c:v>30.6</c:v>
                </c:pt>
                <c:pt idx="4">
                  <c:v>30.3</c:v>
                </c:pt>
                <c:pt idx="5">
                  <c:v>30.5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'Коэффициент Лоренца Джини'!$A$19</c:f>
              <c:strCache>
                <c:ptCount val="1"/>
                <c:pt idx="0">
                  <c:v>ЕС 12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'Коэффициент Лоренца Джини'!$B$16:$G$16</c:f>
              <c:numCache>
                <c:formatCode>General</c:formatCode>
                <c:ptCount val="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</c:numCache>
            </c:numRef>
          </c:cat>
          <c:val>
            <c:numRef>
              <c:f>'Коэффициент Лоренца Джини'!$B$19:$G$19</c:f>
              <c:numCache>
                <c:formatCode>General</c:formatCode>
                <c:ptCount val="6"/>
                <c:pt idx="0">
                  <c:v>33.200000000000003</c:v>
                </c:pt>
                <c:pt idx="1">
                  <c:v>33</c:v>
                </c:pt>
                <c:pt idx="2">
                  <c:v>31.8</c:v>
                </c:pt>
                <c:pt idx="3">
                  <c:v>31.3</c:v>
                </c:pt>
                <c:pt idx="4">
                  <c:v>30.7</c:v>
                </c:pt>
                <c:pt idx="5">
                  <c:v>30.3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027200"/>
        <c:axId val="161028736"/>
      </c:lineChart>
      <c:catAx>
        <c:axId val="16102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028736"/>
        <c:crosses val="autoZero"/>
        <c:auto val="1"/>
        <c:lblAlgn val="ctr"/>
        <c:lblOffset val="100"/>
        <c:noMultiLvlLbl val="0"/>
      </c:catAx>
      <c:valAx>
        <c:axId val="16102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02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384711286089241"/>
          <c:y val="0.84201662292213453"/>
          <c:w val="0.14615288713910771"/>
          <c:h val="0.149299722951298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19072615923014E-2"/>
          <c:y val="5.1400554097404488E-2"/>
          <c:w val="0.89962248468941464"/>
          <c:h val="0.69373067949839873"/>
        </c:manualLayout>
      </c:layout>
      <c:lineChart>
        <c:grouping val="standard"/>
        <c:varyColors val="0"/>
        <c:ser>
          <c:idx val="0"/>
          <c:order val="0"/>
          <c:tx>
            <c:v>Распределение дохода в ЕС </c:v>
          </c:tx>
          <c:val>
            <c:numRef>
              <c:f>'коэффициент Джинни'!$J$22:$J$31</c:f>
              <c:numCache>
                <c:formatCode>General</c:formatCode>
                <c:ptCount val="10"/>
                <c:pt idx="0">
                  <c:v>4.2838583215571914E-2</c:v>
                </c:pt>
                <c:pt idx="1">
                  <c:v>9.7677439941651095E-2</c:v>
                </c:pt>
                <c:pt idx="2">
                  <c:v>0.16228859917035146</c:v>
                </c:pt>
                <c:pt idx="3">
                  <c:v>0.23648402242786218</c:v>
                </c:pt>
                <c:pt idx="4">
                  <c:v>0.32050303140812325</c:v>
                </c:pt>
                <c:pt idx="5">
                  <c:v>0.4155764233942677</c:v>
                </c:pt>
                <c:pt idx="6">
                  <c:v>0.52430824634179762</c:v>
                </c:pt>
                <c:pt idx="7">
                  <c:v>0.65108606463964991</c:v>
                </c:pt>
                <c:pt idx="8">
                  <c:v>0.81033755755116932</c:v>
                </c:pt>
                <c:pt idx="9">
                  <c:v>0.99999999999999989</c:v>
                </c:pt>
              </c:numCache>
            </c:numRef>
          </c:val>
          <c:smooth val="0"/>
        </c:ser>
        <c:ser>
          <c:idx val="1"/>
          <c:order val="1"/>
          <c:tx>
            <c:v>Абсолютно равное разделение дохода</c:v>
          </c:tx>
          <c:val>
            <c:numRef>
              <c:f>'коэффициент Джинни'!$K$22:$K$31</c:f>
              <c:numCache>
                <c:formatCode>General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0.60000000000000064</c:v>
                </c:pt>
                <c:pt idx="6">
                  <c:v>0.70000000000000062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037312"/>
        <c:axId val="161051392"/>
      </c:lineChart>
      <c:catAx>
        <c:axId val="16103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051392"/>
        <c:crosses val="autoZero"/>
        <c:auto val="1"/>
        <c:lblAlgn val="ctr"/>
        <c:lblOffset val="100"/>
        <c:noMultiLvlLbl val="0"/>
      </c:catAx>
      <c:valAx>
        <c:axId val="16105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03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298600174978277"/>
          <c:y val="0.83868064620264715"/>
          <c:w val="0.31590288713910952"/>
          <c:h val="0.157457296447570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0218722659669"/>
          <c:y val="5.1400554097404488E-2"/>
          <c:w val="0.87456714785651757"/>
          <c:h val="0.76756926217556165"/>
        </c:manualLayout>
      </c:layout>
      <c:lineChart>
        <c:grouping val="standard"/>
        <c:varyColors val="0"/>
        <c:ser>
          <c:idx val="0"/>
          <c:order val="0"/>
          <c:tx>
            <c:v>ЕС 27</c:v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'Численность населения'!$B$65:$L$65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населения'!$B$66:$L$66</c:f>
              <c:numCache>
                <c:formatCode>#,##0.0</c:formatCode>
                <c:ptCount val="11"/>
                <c:pt idx="0">
                  <c:v>2.1</c:v>
                </c:pt>
                <c:pt idx="1">
                  <c:v>1.7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4.8</c:v>
                </c:pt>
                <c:pt idx="5">
                  <c:v>4.2</c:v>
                </c:pt>
                <c:pt idx="6">
                  <c:v>4.2</c:v>
                </c:pt>
                <c:pt idx="7">
                  <c:v>4.9000000000000004</c:v>
                </c:pt>
                <c:pt idx="8">
                  <c:v>4</c:v>
                </c:pt>
                <c:pt idx="9" formatCode="#,##0.000">
                  <c:v>2.8329999999999909</c:v>
                </c:pt>
                <c:pt idx="10" formatCode="#,##0.000">
                  <c:v>2.7349999999999999</c:v>
                </c:pt>
              </c:numCache>
            </c:numRef>
          </c:val>
          <c:smooth val="0"/>
        </c:ser>
        <c:ser>
          <c:idx val="1"/>
          <c:order val="1"/>
          <c:tx>
            <c:v>ЕС 15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'Численность населения'!$B$65:$L$65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населения'!$B$67:$L$67</c:f>
              <c:numCache>
                <c:formatCode>#,##0.0</c:formatCode>
                <c:ptCount val="11"/>
                <c:pt idx="0">
                  <c:v>4.2</c:v>
                </c:pt>
                <c:pt idx="1">
                  <c:v>4.9000000000000004</c:v>
                </c:pt>
                <c:pt idx="2">
                  <c:v>6.1</c:v>
                </c:pt>
                <c:pt idx="3">
                  <c:v>6.3</c:v>
                </c:pt>
                <c:pt idx="4">
                  <c:v>6.5</c:v>
                </c:pt>
                <c:pt idx="5">
                  <c:v>5.5</c:v>
                </c:pt>
                <c:pt idx="6">
                  <c:v>5.4</c:v>
                </c:pt>
                <c:pt idx="7">
                  <c:v>5.9</c:v>
                </c:pt>
                <c:pt idx="8">
                  <c:v>4.5</c:v>
                </c:pt>
                <c:pt idx="9" formatCode="#,##0.000">
                  <c:v>2.8359999999999967</c:v>
                </c:pt>
                <c:pt idx="10" formatCode="#,##0.000">
                  <c:v>3.1480000000000001</c:v>
                </c:pt>
              </c:numCache>
            </c:numRef>
          </c:val>
          <c:smooth val="0"/>
        </c:ser>
        <c:ser>
          <c:idx val="2"/>
          <c:order val="2"/>
          <c:tx>
            <c:v>ЕС 12</c:v>
          </c:tx>
          <c:spPr>
            <a:ln>
              <a:solidFill>
                <a:srgbClr val="12BE78"/>
              </a:solidFill>
            </a:ln>
          </c:spPr>
          <c:marker>
            <c:symbol val="none"/>
          </c:marker>
          <c:cat>
            <c:strRef>
              <c:f>'Численность населения'!$B$65:$L$65</c:f>
              <c:strCach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strCache>
            </c:strRef>
          </c:cat>
          <c:val>
            <c:numRef>
              <c:f>'Численность населения'!$B$94:$L$94</c:f>
              <c:numCache>
                <c:formatCode>#,##0.0</c:formatCode>
                <c:ptCount val="11"/>
                <c:pt idx="0">
                  <c:v>-7.3818181818181934</c:v>
                </c:pt>
                <c:pt idx="1">
                  <c:v>-14.763636363636374</c:v>
                </c:pt>
                <c:pt idx="2">
                  <c:v>-4.709090909090909</c:v>
                </c:pt>
                <c:pt idx="3">
                  <c:v>-4.327272727272728</c:v>
                </c:pt>
                <c:pt idx="4">
                  <c:v>-3.9272727272727272</c:v>
                </c:pt>
                <c:pt idx="5">
                  <c:v>-3.1272727272727292</c:v>
                </c:pt>
                <c:pt idx="6">
                  <c:v>-2.5636363636363741</c:v>
                </c:pt>
                <c:pt idx="7">
                  <c:v>-0.4</c:v>
                </c:pt>
                <c:pt idx="8">
                  <c:v>0.92727272727272658</c:v>
                </c:pt>
                <c:pt idx="9">
                  <c:v>-1.293818181818182</c:v>
                </c:pt>
                <c:pt idx="10">
                  <c:v>-4.024545454545426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068928"/>
        <c:axId val="161070464"/>
      </c:lineChart>
      <c:catAx>
        <c:axId val="1610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070464"/>
        <c:crosses val="autoZero"/>
        <c:auto val="1"/>
        <c:lblAlgn val="ctr"/>
        <c:lblOffset val="100"/>
        <c:noMultiLvlLbl val="0"/>
      </c:catAx>
      <c:valAx>
        <c:axId val="16107046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6106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162489063867215"/>
          <c:y val="0.8281277340332458"/>
          <c:w val="0.14615288713910771"/>
          <c:h val="0.167818241469816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5BDD-8A77-41EF-A13C-AECA92B1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Ernest</cp:lastModifiedBy>
  <cp:revision>6</cp:revision>
  <cp:lastPrinted>2012-06-26T17:59:00Z</cp:lastPrinted>
  <dcterms:created xsi:type="dcterms:W3CDTF">2012-06-26T16:59:00Z</dcterms:created>
  <dcterms:modified xsi:type="dcterms:W3CDTF">2013-01-24T21:20:00Z</dcterms:modified>
</cp:coreProperties>
</file>