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FE" w:rsidRPr="008951DA" w:rsidRDefault="00C467FE" w:rsidP="00C467FE">
      <w:pPr>
        <w:spacing w:line="276" w:lineRule="auto"/>
        <w:jc w:val="center"/>
        <w:rPr>
          <w:b/>
          <w:bCs/>
          <w:sz w:val="24"/>
          <w:szCs w:val="24"/>
          <w:lang w:val="uk-UA"/>
        </w:rPr>
      </w:pPr>
      <w:r w:rsidRPr="00430E2B">
        <w:rPr>
          <w:b/>
          <w:bCs/>
          <w:sz w:val="24"/>
          <w:szCs w:val="24"/>
          <w:lang w:val="uk-UA"/>
        </w:rPr>
        <w:t>План семінарського заняття</w:t>
      </w:r>
      <w:r w:rsidRPr="00430E2B">
        <w:rPr>
          <w:b/>
          <w:sz w:val="24"/>
          <w:szCs w:val="24"/>
          <w:lang w:val="uk-UA"/>
        </w:rPr>
        <w:t xml:space="preserve"> </w:t>
      </w:r>
      <w:r w:rsidRPr="00430E2B">
        <w:rPr>
          <w:b/>
          <w:bCs/>
          <w:sz w:val="24"/>
          <w:szCs w:val="24"/>
          <w:lang w:val="uk-UA"/>
        </w:rPr>
        <w:t xml:space="preserve">№ </w:t>
      </w:r>
      <w:r w:rsidR="00F955E4">
        <w:rPr>
          <w:b/>
          <w:bCs/>
          <w:sz w:val="24"/>
          <w:szCs w:val="24"/>
          <w:lang w:val="uk-UA"/>
        </w:rPr>
        <w:t>5</w:t>
      </w:r>
      <w:bookmarkStart w:id="0" w:name="_GoBack"/>
      <w:bookmarkEnd w:id="0"/>
    </w:p>
    <w:p w:rsidR="00C467FE" w:rsidRDefault="00C467FE" w:rsidP="00C467FE">
      <w:pPr>
        <w:spacing w:line="276" w:lineRule="auto"/>
        <w:jc w:val="center"/>
        <w:rPr>
          <w:b/>
          <w:bCs/>
          <w:sz w:val="24"/>
          <w:szCs w:val="24"/>
          <w:lang w:val="uk-UA"/>
        </w:rPr>
      </w:pPr>
    </w:p>
    <w:p w:rsidR="00C467FE" w:rsidRPr="008D3AAB" w:rsidRDefault="00C467FE" w:rsidP="00C467FE">
      <w:pPr>
        <w:spacing w:line="276" w:lineRule="auto"/>
        <w:jc w:val="center"/>
        <w:rPr>
          <w:b/>
          <w:bCs/>
          <w:sz w:val="24"/>
          <w:szCs w:val="24"/>
          <w:lang w:val="uk-UA"/>
        </w:rPr>
      </w:pPr>
      <w:r>
        <w:rPr>
          <w:b/>
          <w:bCs/>
          <w:sz w:val="24"/>
          <w:szCs w:val="24"/>
          <w:lang w:val="uk-UA"/>
        </w:rPr>
        <w:t>Міжнародний рух капіталу. ТНК</w:t>
      </w:r>
    </w:p>
    <w:p w:rsidR="00C467FE" w:rsidRDefault="00C467FE" w:rsidP="00C467FE">
      <w:pPr>
        <w:numPr>
          <w:ilvl w:val="0"/>
          <w:numId w:val="1"/>
        </w:numPr>
        <w:spacing w:line="276" w:lineRule="auto"/>
        <w:jc w:val="both"/>
        <w:rPr>
          <w:sz w:val="24"/>
          <w:szCs w:val="24"/>
          <w:lang w:val="uk-UA"/>
        </w:rPr>
      </w:pPr>
      <w:r>
        <w:rPr>
          <w:sz w:val="24"/>
          <w:szCs w:val="24"/>
          <w:lang w:val="uk-UA"/>
        </w:rPr>
        <w:t>Поняття</w:t>
      </w:r>
      <w:r>
        <w:rPr>
          <w:sz w:val="24"/>
          <w:szCs w:val="24"/>
          <w:lang w:val="uk-UA"/>
        </w:rPr>
        <w:t>,</w:t>
      </w:r>
      <w:r>
        <w:rPr>
          <w:sz w:val="24"/>
          <w:szCs w:val="24"/>
          <w:lang w:val="uk-UA"/>
        </w:rPr>
        <w:t xml:space="preserve"> причини </w:t>
      </w:r>
      <w:r>
        <w:rPr>
          <w:sz w:val="24"/>
          <w:szCs w:val="24"/>
          <w:lang w:val="uk-UA"/>
        </w:rPr>
        <w:t xml:space="preserve">та </w:t>
      </w:r>
      <w:r>
        <w:rPr>
          <w:sz w:val="24"/>
          <w:szCs w:val="24"/>
          <w:lang w:val="uk-UA"/>
        </w:rPr>
        <w:t>передумови міжнародного руху капіталу.</w:t>
      </w:r>
    </w:p>
    <w:p w:rsidR="00C467FE" w:rsidRDefault="00C467FE" w:rsidP="00C467FE">
      <w:pPr>
        <w:numPr>
          <w:ilvl w:val="0"/>
          <w:numId w:val="1"/>
        </w:numPr>
        <w:spacing w:line="276" w:lineRule="auto"/>
        <w:jc w:val="both"/>
        <w:rPr>
          <w:sz w:val="24"/>
          <w:szCs w:val="24"/>
          <w:lang w:val="uk-UA"/>
        </w:rPr>
      </w:pPr>
      <w:r>
        <w:rPr>
          <w:sz w:val="24"/>
          <w:szCs w:val="24"/>
          <w:lang w:val="uk-UA"/>
        </w:rPr>
        <w:t>Форми здійснення та значення прямих іноземних інвестицій.</w:t>
      </w:r>
    </w:p>
    <w:p w:rsidR="00C467FE" w:rsidRDefault="00C467FE" w:rsidP="00C467FE">
      <w:pPr>
        <w:numPr>
          <w:ilvl w:val="0"/>
          <w:numId w:val="1"/>
        </w:numPr>
        <w:spacing w:line="276" w:lineRule="auto"/>
        <w:jc w:val="both"/>
        <w:rPr>
          <w:sz w:val="24"/>
          <w:szCs w:val="24"/>
          <w:lang w:val="uk-UA"/>
        </w:rPr>
      </w:pPr>
      <w:r>
        <w:rPr>
          <w:sz w:val="24"/>
          <w:szCs w:val="24"/>
          <w:lang w:val="uk-UA"/>
        </w:rPr>
        <w:t xml:space="preserve">Портфельні іноземні інвестиції: </w:t>
      </w:r>
      <w:r>
        <w:rPr>
          <w:sz w:val="24"/>
          <w:szCs w:val="24"/>
          <w:lang w:val="uk-UA"/>
        </w:rPr>
        <w:t>специфіка та сучасні тенденції розвитку</w:t>
      </w:r>
      <w:r>
        <w:rPr>
          <w:sz w:val="24"/>
          <w:szCs w:val="24"/>
          <w:lang w:val="uk-UA"/>
        </w:rPr>
        <w:t>.</w:t>
      </w:r>
    </w:p>
    <w:p w:rsidR="00C467FE" w:rsidRDefault="00C467FE" w:rsidP="00C467FE">
      <w:pPr>
        <w:numPr>
          <w:ilvl w:val="0"/>
          <w:numId w:val="1"/>
        </w:numPr>
        <w:spacing w:line="276" w:lineRule="auto"/>
        <w:jc w:val="both"/>
        <w:rPr>
          <w:sz w:val="24"/>
          <w:szCs w:val="24"/>
          <w:lang w:val="uk-UA"/>
        </w:rPr>
      </w:pPr>
      <w:r>
        <w:rPr>
          <w:sz w:val="24"/>
          <w:szCs w:val="24"/>
          <w:lang w:val="uk-UA"/>
        </w:rPr>
        <w:t>Міжнародне кредитування: суть та перспективи.</w:t>
      </w:r>
    </w:p>
    <w:p w:rsidR="00C467FE" w:rsidRDefault="00C467FE" w:rsidP="00C467FE">
      <w:pPr>
        <w:numPr>
          <w:ilvl w:val="0"/>
          <w:numId w:val="1"/>
        </w:numPr>
        <w:spacing w:line="276" w:lineRule="auto"/>
        <w:jc w:val="both"/>
        <w:rPr>
          <w:sz w:val="24"/>
          <w:szCs w:val="24"/>
          <w:lang w:val="uk-UA"/>
        </w:rPr>
      </w:pPr>
      <w:r>
        <w:rPr>
          <w:sz w:val="24"/>
          <w:szCs w:val="24"/>
          <w:lang w:val="uk-UA"/>
        </w:rPr>
        <w:t>Види міжнародних кредитів.</w:t>
      </w:r>
    </w:p>
    <w:p w:rsidR="00C467FE" w:rsidRDefault="00C467FE" w:rsidP="00C467FE">
      <w:pPr>
        <w:numPr>
          <w:ilvl w:val="0"/>
          <w:numId w:val="1"/>
        </w:numPr>
        <w:spacing w:line="276" w:lineRule="auto"/>
        <w:jc w:val="both"/>
        <w:rPr>
          <w:sz w:val="24"/>
          <w:szCs w:val="24"/>
          <w:lang w:val="uk-UA"/>
        </w:rPr>
      </w:pPr>
      <w:r>
        <w:rPr>
          <w:sz w:val="24"/>
          <w:szCs w:val="24"/>
          <w:lang w:val="uk-UA"/>
        </w:rPr>
        <w:t xml:space="preserve">Суть та основні риси </w:t>
      </w:r>
      <w:proofErr w:type="spellStart"/>
      <w:r>
        <w:rPr>
          <w:sz w:val="24"/>
          <w:szCs w:val="24"/>
          <w:lang w:val="uk-UA"/>
        </w:rPr>
        <w:t>транснаціоналізації</w:t>
      </w:r>
      <w:proofErr w:type="spellEnd"/>
      <w:r>
        <w:rPr>
          <w:sz w:val="24"/>
          <w:szCs w:val="24"/>
          <w:lang w:val="uk-UA"/>
        </w:rPr>
        <w:t>.</w:t>
      </w:r>
    </w:p>
    <w:p w:rsidR="00C467FE" w:rsidRDefault="00C467FE" w:rsidP="00C467FE">
      <w:pPr>
        <w:numPr>
          <w:ilvl w:val="0"/>
          <w:numId w:val="1"/>
        </w:numPr>
        <w:spacing w:line="276" w:lineRule="auto"/>
        <w:jc w:val="both"/>
        <w:rPr>
          <w:sz w:val="24"/>
          <w:szCs w:val="24"/>
          <w:lang w:val="uk-UA"/>
        </w:rPr>
      </w:pPr>
      <w:r>
        <w:rPr>
          <w:sz w:val="24"/>
          <w:szCs w:val="24"/>
          <w:lang w:val="uk-UA"/>
        </w:rPr>
        <w:t>Масштаби діяльності ТНК.</w:t>
      </w:r>
    </w:p>
    <w:p w:rsidR="00C467FE" w:rsidRDefault="00C467FE" w:rsidP="00C467FE">
      <w:pPr>
        <w:numPr>
          <w:ilvl w:val="0"/>
          <w:numId w:val="1"/>
        </w:numPr>
        <w:spacing w:line="276" w:lineRule="auto"/>
        <w:jc w:val="both"/>
        <w:rPr>
          <w:sz w:val="24"/>
          <w:szCs w:val="24"/>
          <w:lang w:val="uk-UA"/>
        </w:rPr>
      </w:pPr>
      <w:r>
        <w:rPr>
          <w:sz w:val="24"/>
          <w:szCs w:val="24"/>
          <w:lang w:val="uk-UA"/>
        </w:rPr>
        <w:t>Стратегічні альянси транснаціональних фірм.</w:t>
      </w:r>
    </w:p>
    <w:p w:rsidR="00C467FE" w:rsidRPr="00430E2B" w:rsidRDefault="00C467FE" w:rsidP="00C467FE">
      <w:pPr>
        <w:spacing w:line="276" w:lineRule="auto"/>
        <w:jc w:val="both"/>
        <w:rPr>
          <w:i/>
          <w:sz w:val="24"/>
          <w:szCs w:val="24"/>
          <w:u w:val="single"/>
          <w:lang w:val="uk-UA"/>
        </w:rPr>
      </w:pPr>
      <w:r w:rsidRPr="00430E2B">
        <w:rPr>
          <w:i/>
          <w:sz w:val="24"/>
          <w:szCs w:val="24"/>
          <w:u w:val="single"/>
          <w:lang w:val="uk-UA"/>
        </w:rPr>
        <w:t>Терміни:</w:t>
      </w:r>
    </w:p>
    <w:p w:rsidR="00C467FE" w:rsidRDefault="00C467FE" w:rsidP="00C467FE">
      <w:pPr>
        <w:spacing w:line="276" w:lineRule="auto"/>
        <w:jc w:val="both"/>
        <w:rPr>
          <w:lang w:val="uk-UA"/>
        </w:rPr>
      </w:pPr>
      <w:r w:rsidRPr="00325922">
        <w:rPr>
          <w:lang w:val="uk-UA"/>
        </w:rPr>
        <w:t>Позик</w:t>
      </w:r>
      <w:r>
        <w:rPr>
          <w:lang w:val="uk-UA"/>
        </w:rPr>
        <w:t>а</w:t>
      </w:r>
      <w:r w:rsidRPr="00325922">
        <w:rPr>
          <w:lang w:val="uk-UA"/>
        </w:rPr>
        <w:t>, кредит, капітал, міжнародна корпорація, транснаціональна компанія, багатонаціональна компанія, прямі закордонні інвестиції, портфельні інвестиції, приймаюча країна, країна-донор, трансферні ціни, вертикальна інтеграція, горизонтальна інтеграція, диверсифікація портфелю, географічна диверсифікація, єврооблігації, єв</w:t>
      </w:r>
      <w:r>
        <w:rPr>
          <w:lang w:val="uk-UA"/>
        </w:rPr>
        <w:t xml:space="preserve">ровалюти, єврокредит, євробанки, </w:t>
      </w:r>
      <w:proofErr w:type="spellStart"/>
      <w:r>
        <w:rPr>
          <w:lang w:val="uk-UA"/>
        </w:rPr>
        <w:t>транснаціоналізація</w:t>
      </w:r>
      <w:proofErr w:type="spellEnd"/>
      <w:r>
        <w:rPr>
          <w:lang w:val="uk-UA"/>
        </w:rPr>
        <w:t>.</w:t>
      </w:r>
    </w:p>
    <w:p w:rsidR="00C467FE" w:rsidRPr="00430E2B" w:rsidRDefault="00C467FE" w:rsidP="00C467FE">
      <w:pPr>
        <w:spacing w:line="276" w:lineRule="auto"/>
        <w:jc w:val="both"/>
        <w:rPr>
          <w:i/>
          <w:sz w:val="24"/>
          <w:szCs w:val="24"/>
          <w:u w:val="single"/>
          <w:lang w:val="uk-UA"/>
        </w:rPr>
      </w:pPr>
      <w:r w:rsidRPr="00430E2B">
        <w:rPr>
          <w:i/>
          <w:sz w:val="24"/>
          <w:szCs w:val="24"/>
          <w:u w:val="single"/>
          <w:lang w:val="uk-UA"/>
        </w:rPr>
        <w:t>Практичн</w:t>
      </w:r>
      <w:r>
        <w:rPr>
          <w:i/>
          <w:sz w:val="24"/>
          <w:szCs w:val="24"/>
          <w:u w:val="single"/>
          <w:lang w:val="uk-UA"/>
        </w:rPr>
        <w:t>і</w:t>
      </w:r>
      <w:r w:rsidRPr="00430E2B">
        <w:rPr>
          <w:i/>
          <w:sz w:val="24"/>
          <w:szCs w:val="24"/>
          <w:u w:val="single"/>
          <w:lang w:val="uk-UA"/>
        </w:rPr>
        <w:t xml:space="preserve"> завдання</w:t>
      </w:r>
      <w:r>
        <w:rPr>
          <w:i/>
          <w:sz w:val="24"/>
          <w:szCs w:val="24"/>
          <w:u w:val="single"/>
          <w:lang w:val="uk-UA"/>
        </w:rPr>
        <w:t>:</w:t>
      </w:r>
    </w:p>
    <w:p w:rsidR="00C467FE" w:rsidRDefault="00C467FE" w:rsidP="00C467FE">
      <w:pPr>
        <w:numPr>
          <w:ilvl w:val="0"/>
          <w:numId w:val="3"/>
        </w:numPr>
        <w:jc w:val="both"/>
        <w:rPr>
          <w:lang w:val="uk-UA"/>
        </w:rPr>
      </w:pPr>
      <w:r>
        <w:rPr>
          <w:lang w:val="uk-UA"/>
        </w:rPr>
        <w:t xml:space="preserve">Який портфель є краще диверсифікованим </w:t>
      </w:r>
      <w:r>
        <w:rPr>
          <w:lang w:val="uk-UA"/>
        </w:rPr>
        <w:sym w:font="Symbol" w:char="F02D"/>
      </w:r>
      <w:r>
        <w:rPr>
          <w:lang w:val="uk-UA"/>
        </w:rPr>
        <w:t xml:space="preserve"> той, що містить акції компанії, що виробляє обладнання для офтальмологів та компанії, що виробляє ігрові приставки, або ж той, що містить акції компанії, яка виробляє обладнання для офтальмологів та компанії, яка спеціалізується на вітамінних добавках в їжу.</w:t>
      </w:r>
    </w:p>
    <w:p w:rsidR="00C467FE" w:rsidRDefault="00C467FE" w:rsidP="00C467FE">
      <w:pPr>
        <w:numPr>
          <w:ilvl w:val="0"/>
          <w:numId w:val="3"/>
        </w:numPr>
        <w:jc w:val="both"/>
        <w:rPr>
          <w:lang w:val="uk-UA"/>
        </w:rPr>
      </w:pPr>
      <w:r>
        <w:rPr>
          <w:lang w:val="uk-UA"/>
        </w:rPr>
        <w:t>Виберіть, що з нижче переліченого можна віднести до ПІІ:</w:t>
      </w:r>
    </w:p>
    <w:p w:rsidR="00C467FE" w:rsidRDefault="00C467FE" w:rsidP="00C467FE">
      <w:pPr>
        <w:numPr>
          <w:ilvl w:val="0"/>
          <w:numId w:val="4"/>
        </w:numPr>
        <w:jc w:val="both"/>
        <w:rPr>
          <w:lang w:val="uk-UA"/>
        </w:rPr>
      </w:pPr>
      <w:r>
        <w:rPr>
          <w:lang w:val="uk-UA"/>
        </w:rPr>
        <w:t>Італійська компанія будує завод в Україні та управляє ним по управлінському контракту разом з українським урядом;</w:t>
      </w:r>
    </w:p>
    <w:p w:rsidR="00C467FE" w:rsidRDefault="00C467FE" w:rsidP="00C467FE">
      <w:pPr>
        <w:numPr>
          <w:ilvl w:val="0"/>
          <w:numId w:val="4"/>
        </w:numPr>
        <w:jc w:val="both"/>
        <w:rPr>
          <w:lang w:val="uk-UA"/>
        </w:rPr>
      </w:pPr>
      <w:r>
        <w:rPr>
          <w:lang w:val="uk-UA"/>
        </w:rPr>
        <w:t>Посередницька фірма купує 41,5% акцій компанії “Оболонь”;</w:t>
      </w:r>
    </w:p>
    <w:p w:rsidR="00C467FE" w:rsidRDefault="00C467FE" w:rsidP="00C467FE">
      <w:pPr>
        <w:numPr>
          <w:ilvl w:val="0"/>
          <w:numId w:val="4"/>
        </w:numPr>
        <w:jc w:val="both"/>
        <w:rPr>
          <w:lang w:val="uk-UA"/>
        </w:rPr>
      </w:pPr>
      <w:proofErr w:type="spellStart"/>
      <w:r>
        <w:rPr>
          <w:lang w:val="uk-UA"/>
        </w:rPr>
        <w:t>Французська</w:t>
      </w:r>
      <w:proofErr w:type="spellEnd"/>
      <w:r>
        <w:rPr>
          <w:lang w:val="uk-UA"/>
        </w:rPr>
        <w:t xml:space="preserve"> компанія </w:t>
      </w:r>
      <w:proofErr w:type="spellStart"/>
      <w:r>
        <w:rPr>
          <w:lang w:val="uk-UA"/>
        </w:rPr>
        <w:t>Soufflet</w:t>
      </w:r>
      <w:proofErr w:type="spellEnd"/>
      <w:r>
        <w:rPr>
          <w:lang w:val="uk-UA"/>
        </w:rPr>
        <w:t xml:space="preserve"> підписала меморандум із </w:t>
      </w:r>
      <w:proofErr w:type="spellStart"/>
      <w:r>
        <w:rPr>
          <w:lang w:val="uk-UA"/>
        </w:rPr>
        <w:t>Baltic</w:t>
      </w:r>
      <w:proofErr w:type="spellEnd"/>
      <w:r>
        <w:rPr>
          <w:lang w:val="uk-UA"/>
        </w:rPr>
        <w:t xml:space="preserve"> </w:t>
      </w:r>
      <w:proofErr w:type="spellStart"/>
      <w:r>
        <w:rPr>
          <w:lang w:val="uk-UA"/>
        </w:rPr>
        <w:t>Beverages</w:t>
      </w:r>
      <w:proofErr w:type="spellEnd"/>
      <w:r>
        <w:rPr>
          <w:lang w:val="uk-UA"/>
        </w:rPr>
        <w:t xml:space="preserve"> </w:t>
      </w:r>
      <w:proofErr w:type="spellStart"/>
      <w:r>
        <w:rPr>
          <w:lang w:val="uk-UA"/>
        </w:rPr>
        <w:t>Holding</w:t>
      </w:r>
      <w:proofErr w:type="spellEnd"/>
      <w:r>
        <w:rPr>
          <w:lang w:val="uk-UA"/>
        </w:rPr>
        <w:t xml:space="preserve">, згідно якому планується купити контрольний пакет акцій </w:t>
      </w:r>
      <w:proofErr w:type="spellStart"/>
      <w:r>
        <w:rPr>
          <w:lang w:val="uk-UA"/>
        </w:rPr>
        <w:t>Славутського</w:t>
      </w:r>
      <w:proofErr w:type="spellEnd"/>
      <w:r>
        <w:rPr>
          <w:lang w:val="uk-UA"/>
        </w:rPr>
        <w:t xml:space="preserve"> заводу в Хмельницькій області;</w:t>
      </w:r>
    </w:p>
    <w:p w:rsidR="00C467FE" w:rsidRPr="00325922" w:rsidRDefault="00C467FE" w:rsidP="00C467FE">
      <w:pPr>
        <w:numPr>
          <w:ilvl w:val="0"/>
          <w:numId w:val="4"/>
        </w:numPr>
        <w:jc w:val="both"/>
        <w:rPr>
          <w:lang w:val="uk-UA"/>
        </w:rPr>
      </w:pPr>
      <w:r>
        <w:rPr>
          <w:lang w:val="uk-UA"/>
        </w:rPr>
        <w:t>Бізнесмен купує будинок в Празі для проживання своєї родини.</w:t>
      </w:r>
    </w:p>
    <w:p w:rsidR="00C467FE" w:rsidRDefault="00C467FE" w:rsidP="00C467FE">
      <w:pPr>
        <w:spacing w:line="276" w:lineRule="auto"/>
        <w:jc w:val="both"/>
        <w:rPr>
          <w:sz w:val="24"/>
          <w:lang w:val="uk-UA"/>
        </w:rPr>
      </w:pPr>
    </w:p>
    <w:p w:rsidR="00C467FE" w:rsidRDefault="00C467FE" w:rsidP="00C467FE">
      <w:pPr>
        <w:numPr>
          <w:ilvl w:val="0"/>
          <w:numId w:val="3"/>
        </w:numPr>
        <w:jc w:val="both"/>
        <w:rPr>
          <w:lang w:val="uk-UA"/>
        </w:rPr>
      </w:pPr>
      <w:r>
        <w:rPr>
          <w:lang w:val="uk-UA"/>
        </w:rPr>
        <w:t xml:space="preserve">Українські промислові компанії та банки зацікавлені у отриманні рейтингу крупних міжнародних агенцій, таких як </w:t>
      </w:r>
      <w:proofErr w:type="spellStart"/>
      <w:r w:rsidRPr="00325922">
        <w:rPr>
          <w:lang w:val="uk-UA"/>
        </w:rPr>
        <w:t>Moody</w:t>
      </w:r>
      <w:r w:rsidRPr="00101561">
        <w:rPr>
          <w:lang w:val="uk-UA"/>
        </w:rPr>
        <w:t>’</w:t>
      </w:r>
      <w:r w:rsidRPr="00325922">
        <w:rPr>
          <w:lang w:val="uk-UA"/>
        </w:rPr>
        <w:t>s</w:t>
      </w:r>
      <w:proofErr w:type="spellEnd"/>
      <w:r w:rsidRPr="00101561">
        <w:rPr>
          <w:lang w:val="uk-UA"/>
        </w:rPr>
        <w:t xml:space="preserve">, </w:t>
      </w:r>
      <w:r w:rsidRPr="00325922">
        <w:rPr>
          <w:lang w:val="uk-UA"/>
        </w:rPr>
        <w:t>Standard</w:t>
      </w:r>
      <w:r w:rsidRPr="00101561">
        <w:rPr>
          <w:lang w:val="uk-UA"/>
        </w:rPr>
        <w:t>&amp;</w:t>
      </w:r>
      <w:proofErr w:type="spellStart"/>
      <w:r w:rsidRPr="00325922">
        <w:rPr>
          <w:lang w:val="uk-UA"/>
        </w:rPr>
        <w:t>Poor</w:t>
      </w:r>
      <w:r w:rsidRPr="00101561">
        <w:rPr>
          <w:lang w:val="uk-UA"/>
        </w:rPr>
        <w:t>’</w:t>
      </w:r>
      <w:r w:rsidRPr="00325922">
        <w:rPr>
          <w:lang w:val="uk-UA"/>
        </w:rPr>
        <w:t>s</w:t>
      </w:r>
      <w:proofErr w:type="spellEnd"/>
      <w:r w:rsidRPr="00101561">
        <w:rPr>
          <w:lang w:val="uk-UA"/>
        </w:rPr>
        <w:t xml:space="preserve">, </w:t>
      </w:r>
      <w:proofErr w:type="spellStart"/>
      <w:r w:rsidRPr="00325922">
        <w:rPr>
          <w:lang w:val="uk-UA"/>
        </w:rPr>
        <w:t>Fitch</w:t>
      </w:r>
      <w:proofErr w:type="spellEnd"/>
      <w:r>
        <w:rPr>
          <w:lang w:val="uk-UA"/>
        </w:rPr>
        <w:t>. Голова Національного банку України С.</w:t>
      </w:r>
      <w:proofErr w:type="spellStart"/>
      <w:r>
        <w:rPr>
          <w:lang w:val="uk-UA"/>
        </w:rPr>
        <w:t>Тигипко</w:t>
      </w:r>
      <w:proofErr w:type="spellEnd"/>
      <w:r>
        <w:rPr>
          <w:lang w:val="uk-UA"/>
        </w:rPr>
        <w:t xml:space="preserve"> закликає банки активно “</w:t>
      </w:r>
      <w:proofErr w:type="spellStart"/>
      <w:r>
        <w:rPr>
          <w:lang w:val="uk-UA"/>
        </w:rPr>
        <w:t>рейтингуватися</w:t>
      </w:r>
      <w:proofErr w:type="spellEnd"/>
      <w:r>
        <w:rPr>
          <w:lang w:val="uk-UA"/>
        </w:rPr>
        <w:t>”, тому що саме рейтинги від поважних агенцій, а не ЗМІ, повинні стати серйозною інформаційною підтримкою для населення. Як ви думаєте, які причини спонукають банкірів та крупних підприємців витрачати кошти на отримання рейтингів? Які етапи треба пройти на шляху привласнення міжнародного кредитного рейтингу? Від яких чинників залежить, чи отримає банк віддачу після привласнення йому рейтингу?</w:t>
      </w:r>
    </w:p>
    <w:p w:rsidR="00C467FE" w:rsidRDefault="00C467FE" w:rsidP="00C467FE">
      <w:pPr>
        <w:numPr>
          <w:ilvl w:val="0"/>
          <w:numId w:val="3"/>
        </w:numPr>
        <w:jc w:val="both"/>
        <w:rPr>
          <w:lang w:val="uk-UA"/>
        </w:rPr>
      </w:pPr>
      <w:r>
        <w:rPr>
          <w:lang w:val="uk-UA"/>
        </w:rPr>
        <w:t>Оцініть доцільність інвестування в країни А та Б. В таблиці наведені данні, розроблені міжнародною консалтинговою компанією:</w:t>
      </w:r>
    </w:p>
    <w:p w:rsidR="00C467FE" w:rsidRDefault="00C467FE" w:rsidP="00C467FE">
      <w:pPr>
        <w:jc w:val="both"/>
        <w:rPr>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Оцінка чинників</w:t>
            </w:r>
          </w:p>
        </w:tc>
        <w:tc>
          <w:tcPr>
            <w:tcW w:w="3284" w:type="dxa"/>
          </w:tcPr>
          <w:p w:rsidR="00C467FE" w:rsidRDefault="00C467FE" w:rsidP="00BB67A7">
            <w:pPr>
              <w:jc w:val="both"/>
              <w:rPr>
                <w:lang w:val="uk-UA"/>
              </w:rPr>
            </w:pPr>
            <w:r>
              <w:rPr>
                <w:lang w:val="uk-UA"/>
              </w:rPr>
              <w:t>Країна А</w:t>
            </w:r>
          </w:p>
        </w:tc>
        <w:tc>
          <w:tcPr>
            <w:tcW w:w="3284" w:type="dxa"/>
          </w:tcPr>
          <w:p w:rsidR="00C467FE" w:rsidRDefault="00C467FE" w:rsidP="00BB67A7">
            <w:pPr>
              <w:jc w:val="both"/>
              <w:rPr>
                <w:lang w:val="uk-UA"/>
              </w:rPr>
            </w:pPr>
            <w:r>
              <w:rPr>
                <w:lang w:val="uk-UA"/>
              </w:rPr>
              <w:t>Країна Б</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Політична стабільність</w:t>
            </w:r>
          </w:p>
        </w:tc>
        <w:tc>
          <w:tcPr>
            <w:tcW w:w="3284" w:type="dxa"/>
          </w:tcPr>
          <w:p w:rsidR="00C467FE" w:rsidRDefault="00C467FE" w:rsidP="00BB67A7">
            <w:pPr>
              <w:jc w:val="both"/>
              <w:rPr>
                <w:lang w:val="uk-UA"/>
              </w:rPr>
            </w:pPr>
            <w:r>
              <w:rPr>
                <w:lang w:val="uk-UA"/>
              </w:rPr>
              <w:t>Дуже стабільна в довгостроковому періоді</w:t>
            </w:r>
          </w:p>
        </w:tc>
        <w:tc>
          <w:tcPr>
            <w:tcW w:w="3284" w:type="dxa"/>
          </w:tcPr>
          <w:p w:rsidR="00C467FE" w:rsidRDefault="00C467FE" w:rsidP="00BB67A7">
            <w:pPr>
              <w:jc w:val="both"/>
              <w:rPr>
                <w:lang w:val="uk-UA"/>
              </w:rPr>
            </w:pPr>
            <w:r>
              <w:rPr>
                <w:lang w:val="uk-UA"/>
              </w:rPr>
              <w:t>Стабільна в довгостроковому періоді</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Економічна стабільність</w:t>
            </w:r>
          </w:p>
        </w:tc>
        <w:tc>
          <w:tcPr>
            <w:tcW w:w="3284" w:type="dxa"/>
          </w:tcPr>
          <w:p w:rsidR="00C467FE" w:rsidRDefault="00C467FE" w:rsidP="00BB67A7">
            <w:pPr>
              <w:jc w:val="both"/>
              <w:rPr>
                <w:lang w:val="uk-UA"/>
              </w:rPr>
            </w:pPr>
            <w:r>
              <w:rPr>
                <w:lang w:val="uk-UA"/>
              </w:rPr>
              <w:t>Низькі темпи економічного зростання; низькі темпи інфляції</w:t>
            </w:r>
          </w:p>
        </w:tc>
        <w:tc>
          <w:tcPr>
            <w:tcW w:w="3284" w:type="dxa"/>
          </w:tcPr>
          <w:p w:rsidR="00C467FE" w:rsidRDefault="00C467FE" w:rsidP="00BB67A7">
            <w:pPr>
              <w:jc w:val="both"/>
              <w:rPr>
                <w:lang w:val="uk-UA"/>
              </w:rPr>
            </w:pPr>
            <w:r>
              <w:rPr>
                <w:lang w:val="uk-UA"/>
              </w:rPr>
              <w:t>Стабільне та помірне зростання</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Валютна стабільність</w:t>
            </w:r>
          </w:p>
        </w:tc>
        <w:tc>
          <w:tcPr>
            <w:tcW w:w="3284" w:type="dxa"/>
          </w:tcPr>
          <w:p w:rsidR="00C467FE" w:rsidRDefault="00C467FE" w:rsidP="00BB67A7">
            <w:pPr>
              <w:jc w:val="both"/>
              <w:rPr>
                <w:lang w:val="uk-UA"/>
              </w:rPr>
            </w:pPr>
            <w:r>
              <w:rPr>
                <w:lang w:val="uk-UA"/>
              </w:rPr>
              <w:t>Стабільна національна валюта</w:t>
            </w:r>
          </w:p>
        </w:tc>
        <w:tc>
          <w:tcPr>
            <w:tcW w:w="3284" w:type="dxa"/>
          </w:tcPr>
          <w:p w:rsidR="00C467FE" w:rsidRDefault="00C467FE" w:rsidP="00BB67A7">
            <w:pPr>
              <w:jc w:val="both"/>
              <w:rPr>
                <w:lang w:val="uk-UA"/>
              </w:rPr>
            </w:pPr>
            <w:r>
              <w:rPr>
                <w:lang w:val="uk-UA"/>
              </w:rPr>
              <w:t>Вільноконвертована валюта та стабільна національна валюта</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Можливість переводу прибутків</w:t>
            </w:r>
          </w:p>
        </w:tc>
        <w:tc>
          <w:tcPr>
            <w:tcW w:w="3284" w:type="dxa"/>
          </w:tcPr>
          <w:p w:rsidR="00C467FE" w:rsidRDefault="00C467FE" w:rsidP="00BB67A7">
            <w:pPr>
              <w:jc w:val="both"/>
              <w:rPr>
                <w:lang w:val="uk-UA"/>
              </w:rPr>
            </w:pPr>
            <w:r>
              <w:rPr>
                <w:lang w:val="uk-UA"/>
              </w:rPr>
              <w:t>Вільний трансфер із попереднім отриманням дозволу</w:t>
            </w:r>
          </w:p>
        </w:tc>
        <w:tc>
          <w:tcPr>
            <w:tcW w:w="3284" w:type="dxa"/>
          </w:tcPr>
          <w:p w:rsidR="00C467FE" w:rsidRDefault="00C467FE" w:rsidP="00BB67A7">
            <w:pPr>
              <w:jc w:val="both"/>
              <w:rPr>
                <w:lang w:val="uk-UA"/>
              </w:rPr>
            </w:pPr>
            <w:r>
              <w:rPr>
                <w:lang w:val="uk-UA"/>
              </w:rPr>
              <w:t>Жорсткий контроль з боку держави</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Ставлення до іноземних інвестицій</w:t>
            </w:r>
          </w:p>
        </w:tc>
        <w:tc>
          <w:tcPr>
            <w:tcW w:w="3284" w:type="dxa"/>
          </w:tcPr>
          <w:p w:rsidR="00C467FE" w:rsidRDefault="00C467FE" w:rsidP="00BB67A7">
            <w:pPr>
              <w:jc w:val="both"/>
              <w:rPr>
                <w:lang w:val="uk-UA"/>
              </w:rPr>
            </w:pPr>
            <w:r>
              <w:rPr>
                <w:lang w:val="uk-UA"/>
              </w:rPr>
              <w:t>Активне заохочення</w:t>
            </w:r>
          </w:p>
        </w:tc>
        <w:tc>
          <w:tcPr>
            <w:tcW w:w="3284" w:type="dxa"/>
          </w:tcPr>
          <w:p w:rsidR="00C467FE" w:rsidRDefault="00C467FE" w:rsidP="00BB67A7">
            <w:pPr>
              <w:jc w:val="both"/>
              <w:rPr>
                <w:lang w:val="uk-UA"/>
              </w:rPr>
            </w:pPr>
            <w:r>
              <w:rPr>
                <w:lang w:val="uk-UA"/>
              </w:rPr>
              <w:t>Незначне заохочення</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Обмеження та пільги для іноземних інвесторів</w:t>
            </w:r>
          </w:p>
        </w:tc>
        <w:tc>
          <w:tcPr>
            <w:tcW w:w="3284" w:type="dxa"/>
          </w:tcPr>
          <w:p w:rsidR="00C467FE" w:rsidRDefault="00C467FE" w:rsidP="00BB67A7">
            <w:pPr>
              <w:jc w:val="both"/>
              <w:rPr>
                <w:lang w:val="uk-UA"/>
              </w:rPr>
            </w:pPr>
            <w:r>
              <w:rPr>
                <w:lang w:val="uk-UA"/>
              </w:rPr>
              <w:t>Ліберальне позитивне ставлення, наявність фінансових пільг</w:t>
            </w:r>
          </w:p>
        </w:tc>
        <w:tc>
          <w:tcPr>
            <w:tcW w:w="3284" w:type="dxa"/>
          </w:tcPr>
          <w:p w:rsidR="00C467FE" w:rsidRDefault="00C467FE" w:rsidP="00BB67A7">
            <w:pPr>
              <w:jc w:val="both"/>
              <w:rPr>
                <w:lang w:val="uk-UA"/>
              </w:rPr>
            </w:pPr>
            <w:r>
              <w:rPr>
                <w:lang w:val="uk-UA"/>
              </w:rPr>
              <w:t>Вибіркове позитивне ставлення</w:t>
            </w:r>
          </w:p>
        </w:tc>
      </w:tr>
      <w:tr w:rsidR="00C467FE" w:rsidTr="00BB67A7">
        <w:tblPrEx>
          <w:tblCellMar>
            <w:top w:w="0" w:type="dxa"/>
            <w:bottom w:w="0" w:type="dxa"/>
          </w:tblCellMar>
        </w:tblPrEx>
        <w:tc>
          <w:tcPr>
            <w:tcW w:w="3284" w:type="dxa"/>
          </w:tcPr>
          <w:p w:rsidR="00C467FE" w:rsidRDefault="00C467FE" w:rsidP="00BB67A7">
            <w:pPr>
              <w:jc w:val="both"/>
              <w:rPr>
                <w:lang w:val="uk-UA"/>
              </w:rPr>
            </w:pPr>
            <w:r>
              <w:rPr>
                <w:lang w:val="uk-UA"/>
              </w:rPr>
              <w:t>Захист технологій</w:t>
            </w:r>
          </w:p>
        </w:tc>
        <w:tc>
          <w:tcPr>
            <w:tcW w:w="3284" w:type="dxa"/>
          </w:tcPr>
          <w:p w:rsidR="00C467FE" w:rsidRDefault="00C467FE" w:rsidP="00BB67A7">
            <w:pPr>
              <w:jc w:val="both"/>
              <w:rPr>
                <w:lang w:val="uk-UA"/>
              </w:rPr>
            </w:pPr>
            <w:r>
              <w:rPr>
                <w:lang w:val="uk-UA"/>
              </w:rPr>
              <w:t>Сильний юридичний захист інтелектуальної власності</w:t>
            </w:r>
          </w:p>
        </w:tc>
        <w:tc>
          <w:tcPr>
            <w:tcW w:w="3284" w:type="dxa"/>
          </w:tcPr>
          <w:p w:rsidR="00C467FE" w:rsidRDefault="00C467FE" w:rsidP="00BB67A7">
            <w:pPr>
              <w:jc w:val="both"/>
              <w:rPr>
                <w:lang w:val="uk-UA"/>
              </w:rPr>
            </w:pPr>
            <w:r>
              <w:rPr>
                <w:lang w:val="uk-UA"/>
              </w:rPr>
              <w:t>Наявність законодавства про захист інтелектуальної власності</w:t>
            </w:r>
          </w:p>
        </w:tc>
      </w:tr>
    </w:tbl>
    <w:p w:rsidR="00C467FE" w:rsidRPr="008951DA" w:rsidRDefault="00C467FE" w:rsidP="00C467FE">
      <w:pPr>
        <w:spacing w:line="276" w:lineRule="auto"/>
        <w:ind w:left="709"/>
        <w:jc w:val="both"/>
        <w:rPr>
          <w:lang w:val="uk-UA"/>
        </w:rPr>
      </w:pPr>
    </w:p>
    <w:p w:rsidR="00B06497" w:rsidRPr="00C467FE" w:rsidRDefault="00B06497">
      <w:pPr>
        <w:rPr>
          <w:lang w:val="uk-UA"/>
        </w:rPr>
      </w:pPr>
    </w:p>
    <w:sectPr w:rsidR="00B06497" w:rsidRPr="00C467FE" w:rsidSect="00325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49FD"/>
    <w:multiLevelType w:val="hybridMultilevel"/>
    <w:tmpl w:val="AF76D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C166E1"/>
    <w:multiLevelType w:val="hybridMultilevel"/>
    <w:tmpl w:val="2474FEC8"/>
    <w:lvl w:ilvl="0" w:tplc="39CA633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45133E05"/>
    <w:multiLevelType w:val="hybridMultilevel"/>
    <w:tmpl w:val="844E361E"/>
    <w:lvl w:ilvl="0" w:tplc="D18463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1FE42E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FE"/>
    <w:rsid w:val="00B06497"/>
    <w:rsid w:val="00C467FE"/>
    <w:rsid w:val="00F9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FE"/>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FE"/>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1154</Characters>
  <Application>Microsoft Office Word</Application>
  <DocSecurity>0</DocSecurity>
  <Lines>9</Lines>
  <Paragraphs>6</Paragraphs>
  <ScaleCrop>false</ScaleCrop>
  <Company>UralSOFT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2018-03-24T19:56:00Z</dcterms:created>
  <dcterms:modified xsi:type="dcterms:W3CDTF">2018-03-24T19:56:00Z</dcterms:modified>
</cp:coreProperties>
</file>