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4BC" w:rsidRPr="00D16100" w:rsidRDefault="00345EBE" w:rsidP="00D16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100">
        <w:rPr>
          <w:rFonts w:ascii="Times New Roman" w:hAnsi="Times New Roman" w:cs="Times New Roman"/>
          <w:b/>
          <w:sz w:val="28"/>
          <w:szCs w:val="28"/>
        </w:rPr>
        <w:t xml:space="preserve">Огляд сучасних тенденцій </w:t>
      </w:r>
      <w:proofErr w:type="gramStart"/>
      <w:r w:rsidRPr="00D16100">
        <w:rPr>
          <w:rFonts w:ascii="Times New Roman" w:hAnsi="Times New Roman" w:cs="Times New Roman"/>
          <w:b/>
          <w:sz w:val="28"/>
          <w:szCs w:val="28"/>
        </w:rPr>
        <w:t>на ринку</w:t>
      </w:r>
      <w:proofErr w:type="gramEnd"/>
      <w:r w:rsidRPr="00D16100">
        <w:rPr>
          <w:rFonts w:ascii="Times New Roman" w:hAnsi="Times New Roman" w:cs="Times New Roman"/>
          <w:b/>
          <w:sz w:val="28"/>
          <w:szCs w:val="28"/>
        </w:rPr>
        <w:t xml:space="preserve"> онлайн-банкінгу в Україні</w:t>
      </w:r>
    </w:p>
    <w:p w:rsidR="008B22D7" w:rsidRDefault="008B22D7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>Тищенко О.І. кандидат економічних наук, доцент кафедри фінансів і банківської справи Східноукраїнського національного університету імені Володимира Даля</w:t>
      </w:r>
      <w:bookmarkStart w:id="0" w:name="_GoBack"/>
      <w:bookmarkEnd w:id="0"/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>Сучасний розвиток банківського сектору нерозривно пов’язаний з упровадженням та вдосконаленням систем віддаленого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 xml:space="preserve">банкінгу. Якщо раніше банку для того, щоб займати лідируючі позиції </w:t>
      </w:r>
      <w:proofErr w:type="gramStart"/>
      <w:r w:rsidRPr="00D16100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D16100">
        <w:rPr>
          <w:rFonts w:ascii="Times New Roman" w:hAnsi="Times New Roman" w:cs="Times New Roman"/>
          <w:sz w:val="28"/>
          <w:szCs w:val="28"/>
        </w:rPr>
        <w:t xml:space="preserve"> слід було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розширювати мережу своїх відділень, то сьогодні такий банк має нарощувати кількість та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якість послуг системи електронного банкінгу.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>Розвиток подібних систем є вигідним як клієнту, так і банку. Завдяки онлайн-банкінгу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банки скорочують адміністративні витрати (на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персонал, оренду приміщення тощо). Згідно з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даними НБУ, в січні-лютому 2016 р. банки спрямували на цю статтю витрат 5,7 млрд. грн., що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 xml:space="preserve">становить 21% від їхніх загальних витрат </w:t>
      </w:r>
      <w:proofErr w:type="gramStart"/>
      <w:r w:rsidRPr="00D16100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D16100">
        <w:rPr>
          <w:rFonts w:ascii="Times New Roman" w:hAnsi="Times New Roman" w:cs="Times New Roman"/>
          <w:sz w:val="28"/>
          <w:szCs w:val="28"/>
        </w:rPr>
        <w:t>,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наприклад, на кожному активному користувачеві системи Інтернет-банкінгу UniCredit Bnk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заощаджує не менше 2 грн. на місяць. При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цьому якщо порівнювати собівартість банківських послуг, то у відділеннях вона становить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не менше 7 грн. за кожен платіж, тоді як в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онлай-режимі вона є майже безкоштовною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Якщо говорити про користь для клієнтів,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то, не враховуючи економію часу на стояння у чергах, заощадження на комісійних за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оформлення платежу становлять понад 6 грн.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(у відділеннях комісія становить не менше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10 грн., а платіж онлайн коштує в середньому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3,5 грн.) [1].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>Експерти відзначають, що протягом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2014–2017 рр. у сфері електронного банкінгу в Україні відбувся значний прорив. Лише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за 2014 р. кількість платежів через Інтернет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зросла з 120,5 млн. до 256,4 млн., а в грошовому вираженні обсяг трансакцій збільшився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більш ніж удвічі – до 112,7 млрд. грн. [1].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>За даними компанії «Простобанк Консалтинг», на початок 2017 р. 31 установа з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50 найбільших роздрібних банків України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була налаштована власними системами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Інтернет-банкінгу для фізичних осіб, що становить майже 62%. При цьому вкладення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в розроблення і технічне оснащення банкінгу в кожному банку становили приблизно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0,8–1 млн. дол. США [2].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>Ринок найбільш популярних видів електронного банкінгу, таких як мобільний та Інтернет-банкінг, в Україні стрімко зростає і вже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 xml:space="preserve">перейшов за позначку в 100 млрд. грн. </w:t>
      </w:r>
      <w:r w:rsidRPr="00D16100">
        <w:rPr>
          <w:rFonts w:ascii="Times New Roman" w:hAnsi="Times New Roman" w:cs="Times New Roman"/>
          <w:sz w:val="28"/>
          <w:szCs w:val="28"/>
        </w:rPr>
        <w:t>Н</w:t>
      </w:r>
      <w:r w:rsidRPr="00D16100">
        <w:rPr>
          <w:rFonts w:ascii="Times New Roman" w:hAnsi="Times New Roman" w:cs="Times New Roman"/>
          <w:sz w:val="28"/>
          <w:szCs w:val="28"/>
        </w:rPr>
        <w:t>а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рік [1]. Загальну характеристику ринку електронного банкінгу впродовж 2016–2017 рр.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подано в табл. 1.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>Сьогодні ринок електронного банкінгу знаходиться на стадії вдосконалення. Основний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активний розвиток відбувався протягом останніх 10 років: створено і впроваджено перші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 xml:space="preserve">необхідні сервіси й технології передачі </w:t>
      </w:r>
      <w:r w:rsidRPr="00D16100">
        <w:rPr>
          <w:rFonts w:ascii="Times New Roman" w:hAnsi="Times New Roman" w:cs="Times New Roman"/>
          <w:sz w:val="28"/>
          <w:szCs w:val="28"/>
        </w:rPr>
        <w:lastRenderedPageBreak/>
        <w:t>даних,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запущений швидкісний мобільний Інтернет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>3G. Отже, найближчим часом революційного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 xml:space="preserve">скачка </w:t>
      </w:r>
      <w:proofErr w:type="gramStart"/>
      <w:r w:rsidRPr="00D16100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D16100">
        <w:rPr>
          <w:rFonts w:ascii="Times New Roman" w:hAnsi="Times New Roman" w:cs="Times New Roman"/>
          <w:sz w:val="28"/>
          <w:szCs w:val="28"/>
        </w:rPr>
        <w:t xml:space="preserve"> не прогнозується.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Незважаючи на значні досягнення вітчизняних банків </w:t>
      </w:r>
      <w:proofErr w:type="gramStart"/>
      <w:r w:rsidRPr="00D16100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D16100">
        <w:rPr>
          <w:rFonts w:ascii="Times New Roman" w:hAnsi="Times New Roman" w:cs="Times New Roman"/>
          <w:sz w:val="28"/>
          <w:szCs w:val="28"/>
        </w:rPr>
        <w:t xml:space="preserve"> електронного банкінгу, його рівень поступається деяким закордонним країнам.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 Так, згідно з даними консалтингової компанії McKinsey&amp;Company, станом на 2016 р. за допомогою комп’ютерів і гаджетів українці проводили близько 40% розрахунків, тоді як у Польщі через цифрові канали проходить 96% роздрібних платежів і переказів коштів. Підрахунки, проведені дослідницькою компанією GfK, довели, що в Україні в 2015 р. з 70 млн. клієнтів, підключених до Інтернет-банкінгу, хоча б одну онлайн-операцію на квартал здійснюють лише 10%, тоді як у Польщі цей показник дорівнює 61%.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 До того ж в українських банках рівень операційних витрат становить близько 4,5% від активів, що перевищує більш ніж удвічі аналогічний показник у Польщі. При цьому, за оцінкою McKinsey, </w:t>
      </w:r>
      <w:proofErr w:type="gramStart"/>
      <w:r w:rsidRPr="00D16100">
        <w:rPr>
          <w:rFonts w:ascii="Times New Roman" w:hAnsi="Times New Roman" w:cs="Times New Roman"/>
          <w:sz w:val="28"/>
          <w:szCs w:val="28"/>
        </w:rPr>
        <w:t>у невеликих банках</w:t>
      </w:r>
      <w:proofErr w:type="gramEnd"/>
      <w:r w:rsidRPr="00D16100">
        <w:rPr>
          <w:rFonts w:ascii="Times New Roman" w:hAnsi="Times New Roman" w:cs="Times New Roman"/>
          <w:sz w:val="28"/>
          <w:szCs w:val="28"/>
        </w:rPr>
        <w:t xml:space="preserve"> відносні витрати майже вдвічі-втричі вищі, ніж у провідних установах [1].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Досліджуючи структуру клієнтів ринку електронних банківських послуг, експерти відзначають не повну готовність клієнтів до заміни традиційного обслуговування віртуальним. Серед найбільш активних користувачів електронних банківських послуг, за оцінкою «Фідобанку», є люди віком 25–34 років, серед них активних юзерів – 43%. У решті вікових категорій їхня частка не перевищує 22%. Подібна тенденція характерна для більшості банківських установ в Україні. При цьому гендерний розподіл клієнтів також нерівномірний: майже 56,7% приходиться на чоловіків і 43,3% – на жінок.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У 2016 р. активним виходом на ринок електронного банкінгу відзначилися банки другої хвилі. Так, необхідність активного залучення клієнтів та відповідності сучасним вимогам підштовхує середні та малі банки до впровадження Інтернет-банкінгу за декількома сценаріями (стартова web-версія, просунута версія або впровадження мобільних додатків на базі Android та iOS).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Найбільш активними та технологічними учасниками ринку є: «ПриваБанк», «АльфаБанк», «VTB Банк», «ПУМб», «Райффайзен Банк Аваль», «УкрСиббанк», «Укрсоцбанк». Лідером за впровадженням Інтернет-технологій в Україні, безперечно, є «ПриватБанк», база якого давно перевищує мільйон осіб. За ним – «Альфа-Банк», «Укрсиббанк» та деякі інші. Протягом 2017 р. значно активізувалися нові учасники ринку, серед яких – ПАТ «Ощадбанк». Роблячи ставку на розвиток технологій безконтактних платежів, </w:t>
      </w:r>
      <w:proofErr w:type="gramStart"/>
      <w:r w:rsidRPr="00D16100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D16100">
        <w:rPr>
          <w:rFonts w:ascii="Times New Roman" w:hAnsi="Times New Roman" w:cs="Times New Roman"/>
          <w:sz w:val="28"/>
          <w:szCs w:val="28"/>
        </w:rPr>
        <w:t xml:space="preserve"> 2017 в. запустив додаток «Ощад PAY», за допомогою якого клієнти </w:t>
      </w:r>
      <w:r w:rsidRPr="00D16100">
        <w:rPr>
          <w:rFonts w:ascii="Times New Roman" w:hAnsi="Times New Roman" w:cs="Times New Roman"/>
          <w:sz w:val="28"/>
          <w:szCs w:val="28"/>
        </w:rPr>
        <w:lastRenderedPageBreak/>
        <w:t xml:space="preserve">зможуть здійснювати платежі без фізичної наявності платіжної картки або готівки. Для проведення платежу потрібен лише мобільний телефон із підтримкою технологій безконтактних платежів NFC [2].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Серед основних видів онлайн-послуг, що пропонують банки, можна виділити такі: перегляд виписок за рахунками; оформлення депозитів, погашення кредитів, обмін валют, переказ грошей, замовлення додаткової пластикової картки, поповнення мобільного телефону, здійснення різних видів платежів, купівля білетів, а також оформлення страхового полісу.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Що стосується цінових параметрів обслуговування </w:t>
      </w:r>
      <w:proofErr w:type="gramStart"/>
      <w:r w:rsidRPr="00D16100">
        <w:rPr>
          <w:rFonts w:ascii="Times New Roman" w:hAnsi="Times New Roman" w:cs="Times New Roman"/>
          <w:sz w:val="28"/>
          <w:szCs w:val="28"/>
        </w:rPr>
        <w:t>у системах</w:t>
      </w:r>
      <w:proofErr w:type="gramEnd"/>
      <w:r w:rsidRPr="00D16100">
        <w:rPr>
          <w:rFonts w:ascii="Times New Roman" w:hAnsi="Times New Roman" w:cs="Times New Roman"/>
          <w:sz w:val="28"/>
          <w:szCs w:val="28"/>
        </w:rPr>
        <w:t xml:space="preserve"> Інтернет-банкінгу для фізичних осіб у банках України, то станом на 01.03.2017 37 організацій із 40 (або 92,5%) не стягували плату за підключення до сервісу, до них належать: «Ощадбанк», «ПриватБанк», «ПУМБ», «УкрСиббанк» та ін. (табл. 2), тоді як деякі фінансові установи (7,5%) заробляли на цій послузі, а саме: UniversalBank (100 грн.), «Сбербанк Росії» (10 грн.) «Банк інвестицій та сбережень» (100 грн.) [2].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Протягом 2016–2017 рр. </w:t>
      </w:r>
      <w:proofErr w:type="gramStart"/>
      <w:r w:rsidRPr="00D16100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D16100">
        <w:rPr>
          <w:rFonts w:ascii="Times New Roman" w:hAnsi="Times New Roman" w:cs="Times New Roman"/>
          <w:sz w:val="28"/>
          <w:szCs w:val="28"/>
        </w:rPr>
        <w:t xml:space="preserve"> електронного банкінгу намітилися позитивні тенденції. Так, можна визначити декілька основних напрямів розвитку електронних банківських послуг в Україні (рис. 1).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1) Відбувся активний запуск P2P-переказів та збільшилася кількість платіжних сервісів для оплати комунальних та інших рахунків. На відміну від інших способів переказу грошей з картки на картку, перекази Р2Р мають низку переваг, це: незначна вартість переказів; можливість здійснювати платіж у будьякий час та </w:t>
      </w:r>
      <w:proofErr w:type="gramStart"/>
      <w:r w:rsidRPr="00D16100">
        <w:rPr>
          <w:rFonts w:ascii="Times New Roman" w:hAnsi="Times New Roman" w:cs="Times New Roman"/>
          <w:sz w:val="28"/>
          <w:szCs w:val="28"/>
        </w:rPr>
        <w:t>в будь</w:t>
      </w:r>
      <w:proofErr w:type="gramEnd"/>
      <w:r w:rsidRPr="00D16100">
        <w:rPr>
          <w:rFonts w:ascii="Times New Roman" w:hAnsi="Times New Roman" w:cs="Times New Roman"/>
          <w:sz w:val="28"/>
          <w:szCs w:val="28"/>
        </w:rPr>
        <w:t xml:space="preserve">-якому місці, де є доступ до Інтернету, операція може проводитися як зі стаціонарного комп’ютера, так і з мобільного телефону; можливість здійснювати онлайнперекази грошей на карти користувачів інших банків [3].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>2) Підвищилася популярність мобільних платежів із використанням смартфону. Так, згідно з дослідженнями MasterCard, за допомогою смартфону готові оплачувати товари і послуги 72% опитаних українців, тоді як у Західній Європі показник такої готовності становить лише 37%, а в Центральній та Східній Європі – 57%. Отже, набувають популярності мобільні додатки та їх функціонали, спрощується процес підключення до онлайн-банкінгу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 xml:space="preserve">та все більше використовуються для платежів новітні технології, наприклад соціальні боти Facebook Messenger [2].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3) Важливим моментом для розвитку електронного банкінгу стала підтримка Національним банком єдиного стандарту електронної дистанційної ідентифікації клієнтів BankID, який сьогодні надає можливість отримувати адміністративні послуги від держави, а в перспективі, за умови </w:t>
      </w:r>
      <w:r w:rsidRPr="00D16100">
        <w:rPr>
          <w:rFonts w:ascii="Times New Roman" w:hAnsi="Times New Roman" w:cs="Times New Roman"/>
          <w:sz w:val="28"/>
          <w:szCs w:val="28"/>
        </w:rPr>
        <w:lastRenderedPageBreak/>
        <w:t>доопрацювання нормативної бази, дасть змогу отримувати всі банківські послуги без візиту до відділення банку.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4) Відзначено активний розвиток Р2Ркредитування (Peer-To-Peer), який являє собою спосіб запозичення коштів між особами, не пов’язаними між собою, без залучення фінансового посередника (банку, кредитної спілки тощо). Зазвичай позики надаються за допомогою онлайн-платформ посередників, які стягують комісію за надання позик, та інструментів перевірки кредитоспроможності [4]. Незважаючи на певні ризики, такі системи стають популярними і присутні навіть в Україні. Так, сервіс P2P-кредитування запустив «ПриватБанк» у березні 2016 р. При цьому НБУ в черговий раз наголосив, що Р2Р-платформа не має державної гарантії повернення коштів, тому вся відповідальність покладається на обидві сторони угоди. Світовий обсяг ринку Peer-To-Peer (P2P) виріс з 1,2 млрд. у 2012 р. до 64 млрд. дол. США в 2016 р. й є одним із найбільш швидкозростаючих сегментів роздрібного кредитування у світі. В Україні його обсяги є значно менше та становили на кінець 2016 р. 5 млрд. грн. [4]. Результати аналітичних досліджень компанії Technavio після вивчення відповідних ринків у Північній і Південній Америці, Азіатсько-Тихоокеанському регіоні, Європі, на Близькому Сході і в Африці свідчать про те, що обсяги P2P-кредитування будуть рости на 53% на рік із 2016 по 2020 р. багато в чому завдяки кредитам для малого і середнього бізнесу [5].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Отже, слід зазначити, що на вітчизняному ринку електронного банкінгу відбувся значний стрибок уперед, проте йому є куди розвиватися, оскільки світові тенденції створюють нові можливості для вдосконалення. Розглянемо деякі з них.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1. Так, однією з глобальних тенденцій онлайн-банкінгу експерти відзначили використання технології blockchain у банківських операціях. У 2016 р. зафіксовано здійснення торгової транзакції на 100 тис. доларів британським банком Barlcays та одним з ізраїльських стартапів на основі цієї технології. При цьому час виконання операції було знижено з 7–10 днів до чотирьох годин [2].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2. Також на світовому ринку електронного банкінгу клієнтам пропонують ще одну нову послугу. Так, у березні 2016 р. швейцарська фінансова група UBS запустила сервіс, який дає змогу відкривати рахунки клієнтам за допомогою смартфона. При цьому ідентифікація відбувається безпосередньо за допомогою відеозв’язку зі співробітником банку, а договір на відкриття банківського рахунку та іншу документацію клієнти отримують у зашифрованому форматі на електронну пошту. Подібна операція проводилася також </w:t>
      </w:r>
      <w:proofErr w:type="gramStart"/>
      <w:r w:rsidRPr="00D16100">
        <w:rPr>
          <w:rFonts w:ascii="Times New Roman" w:hAnsi="Times New Roman" w:cs="Times New Roman"/>
          <w:sz w:val="28"/>
          <w:szCs w:val="28"/>
        </w:rPr>
        <w:t>у банку</w:t>
      </w:r>
      <w:proofErr w:type="gramEnd"/>
      <w:r w:rsidRPr="00D16100">
        <w:rPr>
          <w:rFonts w:ascii="Times New Roman" w:hAnsi="Times New Roman" w:cs="Times New Roman"/>
          <w:sz w:val="28"/>
          <w:szCs w:val="28"/>
        </w:rPr>
        <w:t xml:space="preserve"> Шотландії (Bank of Scotland), де клієнтам </w:t>
      </w:r>
      <w:r w:rsidRPr="00D16100">
        <w:rPr>
          <w:rFonts w:ascii="Times New Roman" w:hAnsi="Times New Roman" w:cs="Times New Roman"/>
          <w:sz w:val="28"/>
          <w:szCs w:val="28"/>
        </w:rPr>
        <w:lastRenderedPageBreak/>
        <w:t xml:space="preserve">пропонували відкрити рахунок онлайн за допомогою селфі, використовуючи веб-браузер смартфону або планшету без необхідності завантажувати додатковий додаток. Така послуга значно спрощує процес для нових клієнтів і дає їм можливість відкривати рахунок, не виходячи з власного дому. До того ж повідомлення про рішення за поданою заявкою приймається від години </w:t>
      </w:r>
      <w:proofErr w:type="gramStart"/>
      <w:r w:rsidRPr="00D16100">
        <w:rPr>
          <w:rFonts w:ascii="Times New Roman" w:hAnsi="Times New Roman" w:cs="Times New Roman"/>
          <w:sz w:val="28"/>
          <w:szCs w:val="28"/>
        </w:rPr>
        <w:t>до максимум</w:t>
      </w:r>
      <w:proofErr w:type="gramEnd"/>
      <w:r w:rsidRPr="00D16100">
        <w:rPr>
          <w:rFonts w:ascii="Times New Roman" w:hAnsi="Times New Roman" w:cs="Times New Roman"/>
          <w:sz w:val="28"/>
          <w:szCs w:val="28"/>
        </w:rPr>
        <w:t xml:space="preserve"> двох днів [6].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3. Дуже важливим кроком </w:t>
      </w:r>
      <w:proofErr w:type="gramStart"/>
      <w:r w:rsidRPr="00D16100">
        <w:rPr>
          <w:rFonts w:ascii="Times New Roman" w:hAnsi="Times New Roman" w:cs="Times New Roman"/>
          <w:sz w:val="28"/>
          <w:szCs w:val="28"/>
        </w:rPr>
        <w:t>на шляху</w:t>
      </w:r>
      <w:proofErr w:type="gramEnd"/>
      <w:r w:rsidRPr="00D16100">
        <w:rPr>
          <w:rFonts w:ascii="Times New Roman" w:hAnsi="Times New Roman" w:cs="Times New Roman"/>
          <w:sz w:val="28"/>
          <w:szCs w:val="28"/>
        </w:rPr>
        <w:t xml:space="preserve"> підвищення безпеки та надійності онлайн-розрахунків є перехід до біометричної авторизації платежів. За оцінкою експертів, біометрія має велике значення в запобіганні крадіжкам під час здійснення онлайн-платежів. Згідно з дослідженням компанії Goode Intelligence, до 2017 р. понад мільярд людей будуть використовувати біометричну авторизацію для здійснення банківських операцій [7].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Так, Японія з 1 жовтня 2016 р. вже розпочала тестувати безготівкові платежі з біометричною аутентифікацією для іноземних туристів – платформу Omotenashi (у перекладі – «гостинність»). У системі, розробленій компаніями Dai Nippon Printing Co і Deloitte Tohmatsu Consulting, туристи можуть реєструвати відбитки пальців, дані кредитної картки та інші персональні дані, аби потім здійснювати безготівкові платежі за покупки, обід, проживання та інші сервіси одним дотиком пальця [2].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Доволі цікавим моментом є поєднання двох новітніх технологій – біометрії та блокчейна. Обидві технології працюють в однаковому напрямі – захист безпеки фінансових транзакцій у кіберпросторі. Саме із цієї причини ідея об’єднання двох цих технологій дуже актуальна, хоча думки експертів із цього приводу є суперечливими та неоднозначними [7].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Для вибору напрямів подальшого розвитку електронного банкінгу в Україні важливим є врахування не лише світового досвіду, а й запозичення досвіду країн ближнього зарубіжжя. Проведемо порівняльну характеристику послуг мобільного банкінгу в деяких країнах (табл. 3).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>Головним лідером щодо впровадження інформаційних нововведень є Білорусь. У країні створена міжбанківська система ідентифікації, куди загружено більше 6 млн. записів. Національним банком Білорусі створена</w:t>
      </w:r>
      <w:r w:rsidRPr="00D16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100">
        <w:rPr>
          <w:rFonts w:ascii="Times New Roman" w:hAnsi="Times New Roman" w:cs="Times New Roman"/>
          <w:sz w:val="28"/>
          <w:szCs w:val="28"/>
        </w:rPr>
        <w:t xml:space="preserve">інформаційна система з використанням технології blockchain, яку банки зможуть використовувати для передачі інформації про видані банківські гарантії і під час роботи </w:t>
      </w:r>
      <w:proofErr w:type="gramStart"/>
      <w:r w:rsidRPr="00D16100">
        <w:rPr>
          <w:rFonts w:ascii="Times New Roman" w:hAnsi="Times New Roman" w:cs="Times New Roman"/>
          <w:sz w:val="28"/>
          <w:szCs w:val="28"/>
        </w:rPr>
        <w:t>на ринку</w:t>
      </w:r>
      <w:proofErr w:type="gramEnd"/>
      <w:r w:rsidRPr="00D16100">
        <w:rPr>
          <w:rFonts w:ascii="Times New Roman" w:hAnsi="Times New Roman" w:cs="Times New Roman"/>
          <w:sz w:val="28"/>
          <w:szCs w:val="28"/>
        </w:rPr>
        <w:t xml:space="preserve"> цінних паперів.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«Альфа-банком» запущено власний мобільний додаток INSYNC.BY. Ця технологія є дуже опрацьованою та має переваги перед мобільними банками не лише Білорусі, а й інших країн. Цю технологію іменують як цифровий банк. У додатку для переказів між рахунками й обміну валют можна скористатися технологією Drag &amp; Drop, персонально під себе налаштувати дизайн і </w:t>
      </w:r>
      <w:r w:rsidRPr="00D16100">
        <w:rPr>
          <w:rFonts w:ascii="Times New Roman" w:hAnsi="Times New Roman" w:cs="Times New Roman"/>
          <w:sz w:val="28"/>
          <w:szCs w:val="28"/>
        </w:rPr>
        <w:lastRenderedPageBreak/>
        <w:t xml:space="preserve">відображення продуктів і рахунків. Також у Білорусі започатковано дистанційне відкриття рахунків й активно використовують соціальні мережі в комунікаціях із клієнтами. Так, у 2017 р. першим у країні «Альфа-банк» запустив свій стікерпак у Viber і залучив 325 тис. передплатників [8].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Щодо розвитку онлайн-банкінгу в Азербайджані, то тут створено віддалену ідентифікацію користувача (Asan Imza). Це технологія, що дає змогу клієнту використовувати телефон як засіб безпечного електронного посвідчення особи. Технологія заснована на використанні смарт-карт та електронного підпису (наприклад, e-IMZA), її можна використовувати для безпечного доступу до е-послуг і для засвідчення документів цифровим підписом, але на відміну від інших технологій вона не потребує пристрою для читання карт. Основа системи – спеціальна сім-карта Asan İmza (Mobile ID), яку клієнт отримує в оператора мобільного зв’язку та на якій зберігаються особисті ключі доступу і невелика програма-додаток для ідентифікації та підписи [9]. Такий пристрій активно використовують Unibank та YapiKredi Bank. Також серед нововведень використовують функцію захисту екрану мобільного банку від скріншотів, що забезпечує більшу безпеку персональних даних у додатку. За підсумками досліджень, проведених компанією Deloitte &amp; Touche LLC, мобільний додаток Unibank Mobile було визнано одним із найкращих банківських додатків на просторі СНД і найбільш просунутим в Азербайджані.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У Грузії ще з 2011 р. активно в онлайн-розрахунках використовують ID-картки – ідентифікаційні електронні картки. Цифровий підпис, що інтегрований в ID-карту, еквівалентний з юридичної точки зору фізичного підпису на паперовому носії. Більш того, у деяких мобільних банках можна здійснювати внутрішньобанківський переказ за номером ID (аналог перекладу за номером телефону), який використовується Liberty Bank. Наприклад, у мобільному банкінгу «ВТБ» можна створювати «кошик рахунків», куди клієнт додає всі платежі і перекази, які він оплачує однією транзакцією [8].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00">
        <w:rPr>
          <w:rFonts w:ascii="Times New Roman" w:hAnsi="Times New Roman" w:cs="Times New Roman"/>
          <w:sz w:val="28"/>
          <w:szCs w:val="28"/>
        </w:rPr>
        <w:t xml:space="preserve">Серед нововведень у Казахстані експерти відзначають технологію mVisa, яка має запуститися в 2017 р. Так, платежі за QR-кодами є по-справжньому революційною функцією, в якій будуть використовуватися pull-транзакції, за яких комерсант узагалі не отримує дані карти. Технологія дуже швидко і легко розгортається, безпечна, тому що не потрібні POS-термінали, і має один підхід для офлайн- і онлайн-транзакцій. Також аналітики виділяють «Банк Астани», який повністю перейшов на онлайн-обслуговування, та «Казкоммерцбанк», що впровадив безліч технологій, таких як Cash by Code, прийом переказів через cash-in (наявність у банкоматів функції прийняття готівки) і т. п. Технологія Cash by Code надає користувачам своїх послуг </w:t>
      </w:r>
      <w:r w:rsidRPr="00D16100">
        <w:rPr>
          <w:rFonts w:ascii="Times New Roman" w:hAnsi="Times New Roman" w:cs="Times New Roman"/>
          <w:sz w:val="28"/>
          <w:szCs w:val="28"/>
        </w:rPr>
        <w:lastRenderedPageBreak/>
        <w:t xml:space="preserve">можливість зняття готівки в банкоматі без банківської карти. Для цього користувачу слід увести потрібну суму та номер мобільного телефону. Після перевірки даних, система дає дозвіл на видачу готівки. Термін дії коду строго обмежений: якщо за добу сума не була переведена в готівку, вона автоматично повернеться на картковий рахунок відправника [10]. </w:t>
      </w:r>
    </w:p>
    <w:p w:rsidR="00345EBE" w:rsidRPr="00D16100" w:rsidRDefault="00345EBE" w:rsidP="00D161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100">
        <w:rPr>
          <w:rFonts w:ascii="Times New Roman" w:hAnsi="Times New Roman" w:cs="Times New Roman"/>
          <w:sz w:val="28"/>
          <w:szCs w:val="28"/>
        </w:rPr>
        <w:t>Висновки з цього дослідження. Підводячи підсумки дослідженням стану ринку онлайн-розрахунків в Україні, слід зазначити таке. Протягом останніх років він активно розвивався, а в період 2016–2017 рр. відбулося його вдосконалення. Аналіз основних параметрів ринку дав змогу дати загальну характеристику його розвитку. Серед головних трендів цього періоду було визначено: запуск P2P-переказів; підтримку Національним банком єдиного стандарту електронної дистанційної ідентифікації клієнтів BankID; популяризацію мобільних платежів із використанням смартфону та активний розвиток Р2Р-кредитування. Огляд світових тенденцій та урахування досвіду країн ближнього зарубіжжя формує вектор розвитку онлайн-банкінгу в Україні.</w:t>
      </w:r>
    </w:p>
    <w:p w:rsidR="00345EBE" w:rsidRDefault="00345EBE" w:rsidP="00345EBE">
      <w:r>
        <w:rPr>
          <w:noProof/>
          <w:lang w:eastAsia="ru-RU"/>
        </w:rPr>
        <w:drawing>
          <wp:inline distT="0" distB="0" distL="0" distR="0" wp14:anchorId="489E0D70" wp14:editId="2182C2E1">
            <wp:extent cx="5838825" cy="40408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815" t="26256" r="23677" b="30051"/>
                    <a:stretch/>
                  </pic:blipFill>
                  <pic:spPr bwMode="auto">
                    <a:xfrm>
                      <a:off x="0" y="0"/>
                      <a:ext cx="5850039" cy="4048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5EBE" w:rsidRDefault="00345EBE" w:rsidP="00345EBE"/>
    <w:p w:rsidR="00345EBE" w:rsidRDefault="00345EBE" w:rsidP="00345EBE">
      <w:r>
        <w:rPr>
          <w:noProof/>
          <w:lang w:eastAsia="ru-RU"/>
        </w:rPr>
        <w:lastRenderedPageBreak/>
        <w:drawing>
          <wp:inline distT="0" distB="0" distL="0" distR="0" wp14:anchorId="47C6FA0E" wp14:editId="0151C7AA">
            <wp:extent cx="5794806" cy="2543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334" t="37480" r="23517" b="34460"/>
                    <a:stretch/>
                  </pic:blipFill>
                  <pic:spPr bwMode="auto">
                    <a:xfrm>
                      <a:off x="0" y="0"/>
                      <a:ext cx="5815752" cy="2552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5EBE" w:rsidRDefault="00345EBE" w:rsidP="00345EBE">
      <w:r>
        <w:rPr>
          <w:noProof/>
          <w:lang w:eastAsia="ru-RU"/>
        </w:rPr>
        <w:drawing>
          <wp:inline distT="0" distB="0" distL="0" distR="0" wp14:anchorId="20A1E650" wp14:editId="5735A722">
            <wp:extent cx="5857875" cy="652417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993" t="16034" r="32175" b="36866"/>
                    <a:stretch/>
                  </pic:blipFill>
                  <pic:spPr bwMode="auto">
                    <a:xfrm>
                      <a:off x="0" y="0"/>
                      <a:ext cx="5871721" cy="653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5EBE" w:rsidRDefault="00345EBE" w:rsidP="00345EBE">
      <w:r>
        <w:rPr>
          <w:noProof/>
          <w:lang w:eastAsia="ru-RU"/>
        </w:rPr>
        <w:lastRenderedPageBreak/>
        <w:drawing>
          <wp:inline distT="0" distB="0" distL="0" distR="0" wp14:anchorId="723FDC17" wp14:editId="6DFC8D76">
            <wp:extent cx="5921115" cy="22860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815" t="17237" r="23517" b="58311"/>
                    <a:stretch/>
                  </pic:blipFill>
                  <pic:spPr bwMode="auto">
                    <a:xfrm>
                      <a:off x="0" y="0"/>
                      <a:ext cx="5937494" cy="2292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3B"/>
    <w:rsid w:val="00345EBE"/>
    <w:rsid w:val="00747D3B"/>
    <w:rsid w:val="008544BC"/>
    <w:rsid w:val="008B22D7"/>
    <w:rsid w:val="00D1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B8FD2-FB5E-4C7D-BF31-01A03770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2019-04-16T05:15:00Z</dcterms:created>
  <dcterms:modified xsi:type="dcterms:W3CDTF">2019-04-16T05:15:00Z</dcterms:modified>
</cp:coreProperties>
</file>