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30" w:rsidRPr="00513475" w:rsidRDefault="004C7930" w:rsidP="004C7930">
      <w:pPr>
        <w:tabs>
          <w:tab w:val="left" w:pos="3405"/>
        </w:tabs>
        <w:jc w:val="center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Тема № 7</w:t>
      </w:r>
    </w:p>
    <w:p w:rsidR="004C7930" w:rsidRPr="00513475" w:rsidRDefault="004C7930" w:rsidP="004C7930">
      <w:pPr>
        <w:tabs>
          <w:tab w:val="left" w:pos="3405"/>
        </w:tabs>
        <w:jc w:val="center"/>
        <w:rPr>
          <w:sz w:val="28"/>
          <w:szCs w:val="28"/>
          <w:lang w:val="uk-UA"/>
        </w:rPr>
      </w:pPr>
    </w:p>
    <w:p w:rsidR="004C7930" w:rsidRPr="00513475" w:rsidRDefault="004C7930" w:rsidP="004C7930">
      <w:pPr>
        <w:jc w:val="center"/>
        <w:rPr>
          <w:b/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Зарубіжне літературознавство І пол. ХХ ст.</w:t>
      </w:r>
    </w:p>
    <w:p w:rsidR="004C7930" w:rsidRPr="00513475" w:rsidRDefault="004C7930" w:rsidP="004C7930">
      <w:pPr>
        <w:jc w:val="center"/>
        <w:rPr>
          <w:b/>
          <w:color w:val="000000"/>
          <w:sz w:val="28"/>
          <w:szCs w:val="28"/>
          <w:lang w:val="uk-UA"/>
        </w:rPr>
      </w:pPr>
    </w:p>
    <w:p w:rsidR="004C7930" w:rsidRPr="00513475" w:rsidRDefault="004C7930" w:rsidP="004C7930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Інтуїтивізм (А. Бергсон, Б. Кроче).</w:t>
      </w:r>
    </w:p>
    <w:p w:rsidR="004C7930" w:rsidRPr="00513475" w:rsidRDefault="004C7930" w:rsidP="004C7930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Феноменологія (</w:t>
      </w:r>
      <w:proofErr w:type="spellStart"/>
      <w:r w:rsidRPr="00513475">
        <w:rPr>
          <w:color w:val="000000"/>
          <w:sz w:val="28"/>
          <w:szCs w:val="28"/>
          <w:lang w:val="uk-UA"/>
        </w:rPr>
        <w:t>Е. Гусе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рль, </w:t>
      </w:r>
      <w:proofErr w:type="spellStart"/>
      <w:r w:rsidRPr="00513475">
        <w:rPr>
          <w:color w:val="000000"/>
          <w:sz w:val="28"/>
          <w:szCs w:val="28"/>
          <w:lang w:val="uk-UA"/>
        </w:rPr>
        <w:t>Р. Інгар</w:t>
      </w:r>
      <w:proofErr w:type="spellEnd"/>
      <w:r w:rsidRPr="00513475">
        <w:rPr>
          <w:color w:val="000000"/>
          <w:sz w:val="28"/>
          <w:szCs w:val="28"/>
          <w:lang w:val="uk-UA"/>
        </w:rPr>
        <w:t>ден).</w:t>
      </w:r>
    </w:p>
    <w:p w:rsidR="004C7930" w:rsidRPr="00513475" w:rsidRDefault="004C7930" w:rsidP="004C7930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Духовно-історична школа (</w:t>
      </w:r>
      <w:proofErr w:type="spellStart"/>
      <w:r w:rsidRPr="00513475">
        <w:rPr>
          <w:color w:val="000000"/>
          <w:sz w:val="28"/>
          <w:szCs w:val="28"/>
          <w:lang w:val="uk-UA"/>
        </w:rPr>
        <w:t>В. Діль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тей, </w:t>
      </w:r>
      <w:proofErr w:type="spellStart"/>
      <w:r w:rsidRPr="00513475">
        <w:rPr>
          <w:color w:val="000000"/>
          <w:sz w:val="28"/>
          <w:szCs w:val="28"/>
          <w:lang w:val="uk-UA"/>
        </w:rPr>
        <w:t>Ф. Гундо</w:t>
      </w:r>
      <w:proofErr w:type="spellEnd"/>
      <w:r w:rsidRPr="00513475">
        <w:rPr>
          <w:color w:val="000000"/>
          <w:sz w:val="28"/>
          <w:szCs w:val="28"/>
          <w:lang w:val="uk-UA"/>
        </w:rPr>
        <w:t>льф).</w:t>
      </w:r>
    </w:p>
    <w:p w:rsidR="004C7930" w:rsidRPr="00513475" w:rsidRDefault="004C7930" w:rsidP="004C7930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Методологія психоаналізу в літературознавстві (</w:t>
      </w:r>
      <w:proofErr w:type="spellStart"/>
      <w:r w:rsidRPr="00513475">
        <w:rPr>
          <w:color w:val="000000"/>
          <w:sz w:val="28"/>
          <w:szCs w:val="28"/>
          <w:lang w:val="uk-UA"/>
        </w:rPr>
        <w:t>З. Фр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ойд, О. Ранк, </w:t>
      </w:r>
      <w:proofErr w:type="spellStart"/>
      <w:r w:rsidRPr="00513475">
        <w:rPr>
          <w:color w:val="000000"/>
          <w:sz w:val="28"/>
          <w:szCs w:val="28"/>
          <w:lang w:val="uk-UA"/>
        </w:rPr>
        <w:t>А. Ад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лер, </w:t>
      </w:r>
      <w:proofErr w:type="spellStart"/>
      <w:r w:rsidRPr="00513475">
        <w:rPr>
          <w:color w:val="000000"/>
          <w:sz w:val="28"/>
          <w:szCs w:val="28"/>
          <w:lang w:val="uk-UA"/>
        </w:rPr>
        <w:t>Е. Фр</w:t>
      </w:r>
      <w:proofErr w:type="spellEnd"/>
      <w:r w:rsidRPr="00513475">
        <w:rPr>
          <w:color w:val="000000"/>
          <w:sz w:val="28"/>
          <w:szCs w:val="28"/>
          <w:lang w:val="uk-UA"/>
        </w:rPr>
        <w:t>омм).</w:t>
      </w:r>
    </w:p>
    <w:p w:rsidR="004C7930" w:rsidRPr="00513475" w:rsidRDefault="004C7930" w:rsidP="004C7930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Архетипна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критика (К.-Г. Юнг, Н.</w:t>
      </w:r>
      <w:proofErr w:type="spellStart"/>
      <w:r w:rsidRPr="00513475">
        <w:rPr>
          <w:color w:val="000000"/>
          <w:sz w:val="28"/>
          <w:szCs w:val="28"/>
          <w:lang w:val="uk-UA"/>
        </w:rPr>
        <w:t>Фрай</w:t>
      </w:r>
      <w:proofErr w:type="spellEnd"/>
      <w:r w:rsidRPr="00513475">
        <w:rPr>
          <w:color w:val="000000"/>
          <w:sz w:val="28"/>
          <w:szCs w:val="28"/>
          <w:lang w:val="uk-UA"/>
        </w:rPr>
        <w:t>).</w:t>
      </w:r>
    </w:p>
    <w:p w:rsidR="004C7930" w:rsidRPr="00513475" w:rsidRDefault="004C7930" w:rsidP="004C7930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Герменевтика (</w:t>
      </w:r>
      <w:proofErr w:type="spellStart"/>
      <w:r w:rsidRPr="00513475">
        <w:rPr>
          <w:color w:val="000000"/>
          <w:sz w:val="28"/>
          <w:szCs w:val="28"/>
          <w:lang w:val="uk-UA"/>
        </w:rPr>
        <w:t>В. Діль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тей, </w:t>
      </w:r>
      <w:proofErr w:type="spellStart"/>
      <w:r w:rsidRPr="00513475">
        <w:rPr>
          <w:color w:val="000000"/>
          <w:sz w:val="28"/>
          <w:szCs w:val="28"/>
          <w:lang w:val="uk-UA"/>
        </w:rPr>
        <w:t>Г. Г.</w:t>
      </w:r>
      <w:r w:rsidRPr="00513475">
        <w:rPr>
          <w:sz w:val="28"/>
          <w:szCs w:val="28"/>
          <w:lang w:val="uk-UA"/>
        </w:rPr>
        <w:t> </w:t>
      </w:r>
      <w:r w:rsidRPr="00513475">
        <w:rPr>
          <w:color w:val="000000"/>
          <w:sz w:val="28"/>
          <w:szCs w:val="28"/>
          <w:lang w:val="uk-UA"/>
        </w:rPr>
        <w:t>Гада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мер, М. Гайдеггер, </w:t>
      </w:r>
      <w:proofErr w:type="spellStart"/>
      <w:r w:rsidRPr="00513475">
        <w:rPr>
          <w:color w:val="000000"/>
          <w:sz w:val="28"/>
          <w:szCs w:val="28"/>
          <w:lang w:val="uk-UA"/>
        </w:rPr>
        <w:t>П. Рі</w:t>
      </w:r>
      <w:proofErr w:type="spellEnd"/>
      <w:r w:rsidRPr="00513475">
        <w:rPr>
          <w:color w:val="000000"/>
          <w:sz w:val="28"/>
          <w:szCs w:val="28"/>
          <w:lang w:val="uk-UA"/>
        </w:rPr>
        <w:t>кер).</w:t>
      </w:r>
    </w:p>
    <w:p w:rsidR="004C7930" w:rsidRPr="00513475" w:rsidRDefault="004C7930" w:rsidP="004C7930">
      <w:pPr>
        <w:jc w:val="both"/>
        <w:rPr>
          <w:color w:val="000000"/>
          <w:sz w:val="28"/>
          <w:szCs w:val="28"/>
          <w:lang w:val="uk-UA"/>
        </w:rPr>
      </w:pPr>
    </w:p>
    <w:p w:rsidR="004C7930" w:rsidRPr="00513475" w:rsidRDefault="004C7930" w:rsidP="004C7930">
      <w:pPr>
        <w:jc w:val="center"/>
        <w:rPr>
          <w:b/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Література</w:t>
      </w:r>
    </w:p>
    <w:p w:rsidR="004C7930" w:rsidRPr="00513475" w:rsidRDefault="004C7930" w:rsidP="004C7930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13475">
        <w:rPr>
          <w:rFonts w:ascii="Times New Roman" w:hAnsi="Times New Roman"/>
          <w:b/>
          <w:color w:val="000000"/>
          <w:sz w:val="28"/>
          <w:szCs w:val="28"/>
        </w:rPr>
        <w:t>Основна:</w:t>
      </w:r>
      <w:r w:rsidRPr="00513475">
        <w:rPr>
          <w:rFonts w:ascii="Times New Roman" w:hAnsi="Times New Roman"/>
          <w:sz w:val="28"/>
          <w:szCs w:val="28"/>
        </w:rPr>
        <w:t xml:space="preserve"> </w:t>
      </w:r>
    </w:p>
    <w:p w:rsidR="004C7930" w:rsidRPr="00513475" w:rsidRDefault="004C7930" w:rsidP="004C7930">
      <w:pPr>
        <w:numPr>
          <w:ilvl w:val="0"/>
          <w:numId w:val="3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Астрахан</w:t>
      </w:r>
      <w:proofErr w:type="spellEnd"/>
      <w:r w:rsidRPr="00513475">
        <w:rPr>
          <w:sz w:val="28"/>
          <w:szCs w:val="28"/>
          <w:lang w:val="uk-UA"/>
        </w:rPr>
        <w:t xml:space="preserve"> Н. Теорія літератури: основи, традиції, актуальні проблеми. Київ : ВД Дмитра </w:t>
      </w:r>
      <w:proofErr w:type="spellStart"/>
      <w:r w:rsidRPr="00513475">
        <w:rPr>
          <w:sz w:val="28"/>
          <w:szCs w:val="28"/>
          <w:lang w:val="uk-UA"/>
        </w:rPr>
        <w:t>Бураго</w:t>
      </w:r>
      <w:proofErr w:type="spellEnd"/>
      <w:r w:rsidRPr="00513475">
        <w:rPr>
          <w:sz w:val="28"/>
          <w:szCs w:val="28"/>
          <w:lang w:val="uk-UA"/>
        </w:rPr>
        <w:t>, 2021. С. 21–67, 227–267.</w:t>
      </w:r>
    </w:p>
    <w:p w:rsidR="004C7930" w:rsidRPr="00513475" w:rsidRDefault="004C7930" w:rsidP="004C7930">
      <w:pPr>
        <w:numPr>
          <w:ilvl w:val="0"/>
          <w:numId w:val="3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Тичініна</w:t>
      </w:r>
      <w:proofErr w:type="spellEnd"/>
      <w:r w:rsidRPr="00513475">
        <w:rPr>
          <w:sz w:val="28"/>
          <w:szCs w:val="28"/>
          <w:lang w:val="uk-UA"/>
        </w:rPr>
        <w:t xml:space="preserve"> А. Сучасні методологічні практики : </w:t>
      </w:r>
      <w:proofErr w:type="spellStart"/>
      <w:r w:rsidRPr="00513475">
        <w:rPr>
          <w:sz w:val="28"/>
          <w:szCs w:val="28"/>
          <w:lang w:val="uk-UA"/>
        </w:rPr>
        <w:t>навч.-метод</w:t>
      </w:r>
      <w:proofErr w:type="spellEnd"/>
      <w:r w:rsidRPr="00513475">
        <w:rPr>
          <w:sz w:val="28"/>
          <w:szCs w:val="28"/>
          <w:lang w:val="uk-UA"/>
        </w:rPr>
        <w:t xml:space="preserve">. посібник. Чернівці : Чернівецький національний університет ім. </w:t>
      </w:r>
      <w:proofErr w:type="spellStart"/>
      <w:r w:rsidRPr="00513475">
        <w:rPr>
          <w:sz w:val="28"/>
          <w:szCs w:val="28"/>
          <w:lang w:val="uk-UA"/>
        </w:rPr>
        <w:t>Ю. Федьков</w:t>
      </w:r>
      <w:proofErr w:type="spellEnd"/>
      <w:r w:rsidRPr="00513475">
        <w:rPr>
          <w:sz w:val="28"/>
          <w:szCs w:val="28"/>
          <w:lang w:val="uk-UA"/>
        </w:rPr>
        <w:t>ича, 2018. С. 8–148</w:t>
      </w:r>
    </w:p>
    <w:p w:rsidR="004C7930" w:rsidRPr="00513475" w:rsidRDefault="004C7930" w:rsidP="004C7930">
      <w:pPr>
        <w:numPr>
          <w:ilvl w:val="0"/>
          <w:numId w:val="3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Ференц Н. Сучасні методологічні засади літературознавства : </w:t>
      </w:r>
      <w:proofErr w:type="spellStart"/>
      <w:r w:rsidRPr="00513475">
        <w:rPr>
          <w:sz w:val="28"/>
          <w:szCs w:val="28"/>
          <w:lang w:val="uk-UA"/>
        </w:rPr>
        <w:t>навч.-метод</w:t>
      </w:r>
      <w:proofErr w:type="spellEnd"/>
      <w:r w:rsidRPr="00513475">
        <w:rPr>
          <w:sz w:val="28"/>
          <w:szCs w:val="28"/>
          <w:lang w:val="uk-UA"/>
        </w:rPr>
        <w:t xml:space="preserve">. посібник. Ужгород : </w:t>
      </w:r>
      <w:proofErr w:type="spellStart"/>
      <w:r w:rsidRPr="00513475">
        <w:rPr>
          <w:sz w:val="28"/>
          <w:szCs w:val="28"/>
          <w:lang w:val="uk-UA"/>
        </w:rPr>
        <w:t>Гражда</w:t>
      </w:r>
      <w:proofErr w:type="spellEnd"/>
      <w:r w:rsidRPr="00513475">
        <w:rPr>
          <w:sz w:val="28"/>
          <w:szCs w:val="28"/>
          <w:lang w:val="uk-UA"/>
        </w:rPr>
        <w:t xml:space="preserve">, 2021. С. 33–127. </w:t>
      </w:r>
    </w:p>
    <w:p w:rsidR="004C7930" w:rsidRPr="00513475" w:rsidRDefault="004C7930" w:rsidP="004C7930">
      <w:pPr>
        <w:rPr>
          <w:b/>
          <w:color w:val="000000"/>
          <w:sz w:val="28"/>
          <w:szCs w:val="28"/>
          <w:lang w:val="uk-UA"/>
        </w:rPr>
      </w:pPr>
    </w:p>
    <w:p w:rsidR="004C7930" w:rsidRPr="00513475" w:rsidRDefault="004C7930" w:rsidP="004C7930">
      <w:pPr>
        <w:rPr>
          <w:b/>
          <w:color w:val="000000"/>
          <w:sz w:val="28"/>
          <w:szCs w:val="28"/>
          <w:lang w:val="uk-UA"/>
        </w:rPr>
      </w:pPr>
      <w:r w:rsidRPr="00513475">
        <w:rPr>
          <w:b/>
          <w:color w:val="000000"/>
          <w:sz w:val="28"/>
          <w:szCs w:val="28"/>
          <w:lang w:val="uk-UA"/>
        </w:rPr>
        <w:t>Додаткова:</w:t>
      </w:r>
    </w:p>
    <w:p w:rsidR="004C7930" w:rsidRPr="00513475" w:rsidRDefault="004C7930" w:rsidP="004C793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Бідюк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О. Психоаналіз як літературознавчий метод: інтерпретаційні можливості (на прикладі роману Ліни Костенко «Берестечко»). </w:t>
      </w:r>
      <w:r w:rsidRPr="00513475">
        <w:rPr>
          <w:rFonts w:ascii="Times New Roman" w:hAnsi="Times New Roman"/>
          <w:i/>
          <w:sz w:val="28"/>
          <w:szCs w:val="28"/>
        </w:rPr>
        <w:t>Вісник Львівського університету. Серія «Філологія».</w:t>
      </w:r>
      <w:r w:rsidRPr="00513475">
        <w:rPr>
          <w:rFonts w:ascii="Times New Roman" w:hAnsi="Times New Roman"/>
          <w:sz w:val="28"/>
          <w:szCs w:val="28"/>
        </w:rPr>
        <w:t xml:space="preserve"> 2008. </w:t>
      </w:r>
      <w:proofErr w:type="spellStart"/>
      <w:r w:rsidRPr="00513475">
        <w:rPr>
          <w:rFonts w:ascii="Times New Roman" w:hAnsi="Times New Roman"/>
          <w:sz w:val="28"/>
          <w:szCs w:val="28"/>
        </w:rPr>
        <w:t>Ви</w:t>
      </w:r>
      <w:proofErr w:type="spellEnd"/>
      <w:r w:rsidRPr="00513475">
        <w:rPr>
          <w:rFonts w:ascii="Times New Roman" w:hAnsi="Times New Roman"/>
          <w:sz w:val="28"/>
          <w:szCs w:val="28"/>
        </w:rPr>
        <w:t>п. 44. Ч. 1. С. 264–271.</w:t>
      </w:r>
    </w:p>
    <w:p w:rsidR="004C7930" w:rsidRPr="00513475" w:rsidRDefault="004C7930" w:rsidP="004C793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513475">
        <w:rPr>
          <w:rFonts w:ascii="Times New Roman" w:hAnsi="Times New Roman"/>
          <w:bCs/>
          <w:sz w:val="28"/>
          <w:szCs w:val="28"/>
        </w:rPr>
        <w:t xml:space="preserve">Братко К. Аналіз даних естетичного сприймання у феноменологічній філософії. </w:t>
      </w:r>
      <w:r w:rsidRPr="00513475">
        <w:rPr>
          <w:rFonts w:ascii="Times New Roman" w:hAnsi="Times New Roman"/>
          <w:i/>
          <w:sz w:val="28"/>
          <w:szCs w:val="28"/>
        </w:rPr>
        <w:t>Вісник Черкаського університету. Серія «Філософія»</w:t>
      </w:r>
      <w:r w:rsidRPr="00513475">
        <w:rPr>
          <w:rFonts w:ascii="Times New Roman" w:hAnsi="Times New Roman"/>
          <w:sz w:val="28"/>
          <w:szCs w:val="28"/>
        </w:rPr>
        <w:t xml:space="preserve">. 2010. </w:t>
      </w:r>
      <w:proofErr w:type="spellStart"/>
      <w:r w:rsidRPr="00513475">
        <w:rPr>
          <w:rFonts w:ascii="Times New Roman" w:hAnsi="Times New Roman"/>
          <w:sz w:val="28"/>
          <w:szCs w:val="28"/>
        </w:rPr>
        <w:t>Вип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. 190. С. 118–124. </w:t>
      </w:r>
    </w:p>
    <w:p w:rsidR="004C7930" w:rsidRPr="00513475" w:rsidRDefault="004C7930" w:rsidP="004C7930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Врубель Л. Герменевтика.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Література. Теорія. Методологія</w:t>
      </w:r>
      <w:r w:rsidRPr="00513475">
        <w:rPr>
          <w:rFonts w:ascii="Times New Roman" w:hAnsi="Times New Roman"/>
          <w:color w:val="000000"/>
          <w:sz w:val="28"/>
          <w:szCs w:val="28"/>
        </w:rPr>
        <w:t> </w:t>
      </w:r>
      <w:r w:rsidRPr="00513475">
        <w:rPr>
          <w:rFonts w:ascii="Times New Roman" w:hAnsi="Times New Roman"/>
          <w:sz w:val="28"/>
          <w:szCs w:val="28"/>
          <w:lang w:bidi="he-IL"/>
        </w:rPr>
        <w:t>:</w:t>
      </w:r>
      <w:r w:rsidRPr="00513475">
        <w:rPr>
          <w:rFonts w:ascii="Times New Roman" w:hAnsi="Times New Roman"/>
          <w:sz w:val="28"/>
          <w:szCs w:val="28"/>
        </w:rPr>
        <w:t xml:space="preserve"> </w:t>
      </w:r>
      <w:r w:rsidRPr="00513475">
        <w:rPr>
          <w:rFonts w:ascii="Times New Roman" w:hAnsi="Times New Roman"/>
          <w:sz w:val="28"/>
          <w:szCs w:val="28"/>
          <w:lang w:bidi="he-IL"/>
        </w:rPr>
        <w:t xml:space="preserve">упор. і наук. ред. Д. </w:t>
      </w:r>
      <w:proofErr w:type="spellStart"/>
      <w:r w:rsidRPr="00513475">
        <w:rPr>
          <w:rFonts w:ascii="Times New Roman" w:hAnsi="Times New Roman"/>
          <w:sz w:val="28"/>
          <w:szCs w:val="28"/>
          <w:lang w:bidi="he-IL"/>
        </w:rPr>
        <w:t>Уліцької</w:t>
      </w:r>
      <w:proofErr w:type="spellEnd"/>
      <w:r w:rsidRPr="00513475">
        <w:rPr>
          <w:rFonts w:ascii="Times New Roman" w:hAnsi="Times New Roman"/>
          <w:sz w:val="28"/>
          <w:szCs w:val="28"/>
          <w:lang w:bidi="he-IL"/>
        </w:rPr>
        <w:t xml:space="preserve">; пер. з </w:t>
      </w:r>
      <w:proofErr w:type="spellStart"/>
      <w:r w:rsidRPr="00513475">
        <w:rPr>
          <w:rFonts w:ascii="Times New Roman" w:hAnsi="Times New Roman"/>
          <w:sz w:val="28"/>
          <w:szCs w:val="28"/>
          <w:lang w:bidi="he-IL"/>
        </w:rPr>
        <w:t>польськ</w:t>
      </w:r>
      <w:proofErr w:type="spellEnd"/>
      <w:r w:rsidRPr="00513475">
        <w:rPr>
          <w:rFonts w:ascii="Times New Roman" w:hAnsi="Times New Roman"/>
          <w:sz w:val="28"/>
          <w:szCs w:val="28"/>
          <w:lang w:bidi="he-IL"/>
        </w:rPr>
        <w:t>. С. Яковенка.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Київ : Видавничий дім «Києво-Могилянська академія», 2006. С. 56–113.</w:t>
      </w:r>
    </w:p>
    <w:p w:rsidR="004C7930" w:rsidRPr="00513475" w:rsidRDefault="004C7930" w:rsidP="004C7930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Дьяконов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 Г.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Діалогіка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 символізації й інтерпретації в герменевтиці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П. Рік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ера.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Соціальна психологія</w:t>
      </w:r>
      <w:r w:rsidRPr="00513475">
        <w:rPr>
          <w:rFonts w:ascii="Times New Roman" w:hAnsi="Times New Roman"/>
          <w:color w:val="000000"/>
          <w:sz w:val="28"/>
          <w:szCs w:val="28"/>
        </w:rPr>
        <w:t>. 2008. № 1. С. 28–38.</w:t>
      </w:r>
    </w:p>
    <w:p w:rsidR="004C7930" w:rsidRPr="00513475" w:rsidRDefault="004C7930" w:rsidP="004C7930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Зборовська</w:t>
      </w:r>
      <w:proofErr w:type="spellEnd"/>
      <w:r w:rsidRPr="00513475">
        <w:rPr>
          <w:sz w:val="28"/>
          <w:szCs w:val="28"/>
          <w:lang w:val="uk-UA"/>
        </w:rPr>
        <w:t xml:space="preserve"> Н. Аналітична психологія </w:t>
      </w:r>
      <w:proofErr w:type="spellStart"/>
      <w:r w:rsidRPr="00513475">
        <w:rPr>
          <w:sz w:val="28"/>
          <w:szCs w:val="28"/>
          <w:lang w:val="uk-UA"/>
        </w:rPr>
        <w:t>К.-Г.Юнга</w:t>
      </w:r>
      <w:proofErr w:type="spellEnd"/>
      <w:r w:rsidRPr="00513475">
        <w:rPr>
          <w:sz w:val="28"/>
          <w:szCs w:val="28"/>
          <w:lang w:val="uk-UA"/>
        </w:rPr>
        <w:t xml:space="preserve"> як «романтичний» психоаналіз. </w:t>
      </w:r>
      <w:r w:rsidRPr="00513475">
        <w:rPr>
          <w:i/>
          <w:sz w:val="28"/>
          <w:szCs w:val="28"/>
          <w:lang w:val="uk-UA"/>
        </w:rPr>
        <w:t>Психоаналіз і літературознавство</w:t>
      </w:r>
      <w:r w:rsidRPr="00513475">
        <w:rPr>
          <w:sz w:val="28"/>
          <w:szCs w:val="28"/>
          <w:lang w:val="uk-UA"/>
        </w:rPr>
        <w:t>. Київ : Академвидав, 2003. С. 109–151.</w:t>
      </w:r>
    </w:p>
    <w:p w:rsidR="004C7930" w:rsidRPr="00513475" w:rsidRDefault="004C7930" w:rsidP="004C7930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Зборовська</w:t>
      </w:r>
      <w:proofErr w:type="spellEnd"/>
      <w:r w:rsidRPr="00513475">
        <w:rPr>
          <w:sz w:val="28"/>
          <w:szCs w:val="28"/>
          <w:lang w:val="uk-UA"/>
        </w:rPr>
        <w:t xml:space="preserve"> Н. Класичний (реалістичний) психоаналіз </w:t>
      </w:r>
      <w:proofErr w:type="spellStart"/>
      <w:r w:rsidRPr="00513475">
        <w:rPr>
          <w:sz w:val="28"/>
          <w:szCs w:val="28"/>
          <w:lang w:val="uk-UA"/>
        </w:rPr>
        <w:t>З. Фро</w:t>
      </w:r>
      <w:proofErr w:type="spellEnd"/>
      <w:r w:rsidRPr="00513475">
        <w:rPr>
          <w:sz w:val="28"/>
          <w:szCs w:val="28"/>
          <w:lang w:val="uk-UA"/>
        </w:rPr>
        <w:t xml:space="preserve">йда: основні концепції. </w:t>
      </w:r>
      <w:proofErr w:type="spellStart"/>
      <w:r w:rsidRPr="00513475">
        <w:rPr>
          <w:i/>
          <w:sz w:val="28"/>
          <w:szCs w:val="28"/>
          <w:lang w:val="uk-UA"/>
        </w:rPr>
        <w:t>Зборовська</w:t>
      </w:r>
      <w:proofErr w:type="spellEnd"/>
      <w:r w:rsidRPr="00513475">
        <w:rPr>
          <w:i/>
          <w:sz w:val="28"/>
          <w:szCs w:val="28"/>
          <w:lang w:val="uk-UA"/>
        </w:rPr>
        <w:t xml:space="preserve"> Н. Психоаналіз і літературознавство</w:t>
      </w:r>
      <w:r w:rsidRPr="00513475">
        <w:rPr>
          <w:sz w:val="28"/>
          <w:szCs w:val="28"/>
          <w:lang w:val="uk-UA"/>
        </w:rPr>
        <w:t>. Київ : Академвидав, 2003. С. 7–58.</w:t>
      </w:r>
    </w:p>
    <w:p w:rsidR="004C7930" w:rsidRPr="00513475" w:rsidRDefault="004C7930" w:rsidP="004C7930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Зборовська</w:t>
      </w:r>
      <w:proofErr w:type="spellEnd"/>
      <w:r w:rsidRPr="00513475">
        <w:rPr>
          <w:sz w:val="28"/>
          <w:szCs w:val="28"/>
          <w:lang w:val="uk-UA"/>
        </w:rPr>
        <w:t xml:space="preserve"> Н. </w:t>
      </w:r>
      <w:proofErr w:type="spellStart"/>
      <w:r w:rsidRPr="00513475">
        <w:rPr>
          <w:sz w:val="28"/>
          <w:szCs w:val="28"/>
          <w:lang w:val="uk-UA"/>
        </w:rPr>
        <w:t>Постфройдизм</w:t>
      </w:r>
      <w:proofErr w:type="spellEnd"/>
      <w:r w:rsidRPr="00513475">
        <w:rPr>
          <w:sz w:val="28"/>
          <w:szCs w:val="28"/>
          <w:lang w:val="uk-UA"/>
        </w:rPr>
        <w:t xml:space="preserve"> в авангардній літературній теорії другої половини ХХ ст. </w:t>
      </w:r>
      <w:proofErr w:type="spellStart"/>
      <w:r w:rsidRPr="00513475">
        <w:rPr>
          <w:i/>
          <w:sz w:val="28"/>
          <w:szCs w:val="28"/>
          <w:lang w:val="uk-UA"/>
        </w:rPr>
        <w:t>Зборовська</w:t>
      </w:r>
      <w:proofErr w:type="spellEnd"/>
      <w:r w:rsidRPr="00513475">
        <w:rPr>
          <w:i/>
          <w:sz w:val="28"/>
          <w:szCs w:val="28"/>
          <w:lang w:val="uk-UA"/>
        </w:rPr>
        <w:t xml:space="preserve"> Н. Психоаналіз і літературознавство</w:t>
      </w:r>
      <w:r w:rsidRPr="00513475">
        <w:rPr>
          <w:sz w:val="28"/>
          <w:szCs w:val="28"/>
          <w:lang w:val="uk-UA"/>
        </w:rPr>
        <w:t>. Київ : Академвидав, 2003. С. 241–319.</w:t>
      </w:r>
    </w:p>
    <w:p w:rsidR="004C7930" w:rsidRPr="00513475" w:rsidRDefault="004C7930" w:rsidP="004C793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13475">
        <w:rPr>
          <w:rFonts w:ascii="Times New Roman" w:hAnsi="Times New Roman"/>
          <w:sz w:val="28"/>
          <w:szCs w:val="28"/>
        </w:rPr>
        <w:lastRenderedPageBreak/>
        <w:t xml:space="preserve">Коршунова С. Літературний архетип як спосіб пізнання тексту. </w:t>
      </w:r>
      <w:r w:rsidRPr="00513475">
        <w:rPr>
          <w:rFonts w:ascii="Times New Roman" w:hAnsi="Times New Roman"/>
          <w:i/>
          <w:sz w:val="28"/>
          <w:szCs w:val="28"/>
        </w:rPr>
        <w:t>Зарубіжна література в навчальних закладах</w:t>
      </w:r>
      <w:r w:rsidRPr="00513475">
        <w:rPr>
          <w:rFonts w:ascii="Times New Roman" w:hAnsi="Times New Roman"/>
          <w:sz w:val="28"/>
          <w:szCs w:val="28"/>
        </w:rPr>
        <w:t>. 2004. № 6. С. 3–4.</w:t>
      </w:r>
    </w:p>
    <w:p w:rsidR="004C7930" w:rsidRPr="00513475" w:rsidRDefault="004C7930" w:rsidP="004C7930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>Л</w:t>
      </w:r>
      <w:r w:rsidRPr="00513475">
        <w:rPr>
          <w:rFonts w:ascii="Times New Roman" w:hAnsi="Times New Roman"/>
          <w:color w:val="000000"/>
          <w:spacing w:val="-6"/>
          <w:sz w:val="28"/>
          <w:szCs w:val="28"/>
        </w:rPr>
        <w:t xml:space="preserve">елеко В. Застосування </w:t>
      </w:r>
      <w:proofErr w:type="spellStart"/>
      <w:r w:rsidRPr="00513475">
        <w:rPr>
          <w:rFonts w:ascii="Times New Roman" w:hAnsi="Times New Roman"/>
          <w:color w:val="000000"/>
          <w:spacing w:val="-6"/>
          <w:sz w:val="28"/>
          <w:szCs w:val="28"/>
        </w:rPr>
        <w:t>герменевтичного</w:t>
      </w:r>
      <w:proofErr w:type="spellEnd"/>
      <w:r w:rsidRPr="00513475">
        <w:rPr>
          <w:rFonts w:ascii="Times New Roman" w:hAnsi="Times New Roman"/>
          <w:color w:val="000000"/>
          <w:spacing w:val="-6"/>
          <w:sz w:val="28"/>
          <w:szCs w:val="28"/>
        </w:rPr>
        <w:t xml:space="preserve"> підходу до вивчення тексту. </w:t>
      </w:r>
      <w:r w:rsidRPr="00513475">
        <w:rPr>
          <w:rFonts w:ascii="Times New Roman" w:hAnsi="Times New Roman"/>
          <w:i/>
          <w:color w:val="000000"/>
          <w:spacing w:val="-6"/>
          <w:sz w:val="28"/>
          <w:szCs w:val="28"/>
        </w:rPr>
        <w:t>Наукові записки НДУ ім. М. Гоголя. Психолого-педагогічні науки</w:t>
      </w:r>
      <w:r w:rsidRPr="00513475">
        <w:rPr>
          <w:rFonts w:ascii="Times New Roman" w:hAnsi="Times New Roman"/>
          <w:color w:val="000000"/>
          <w:spacing w:val="-6"/>
          <w:sz w:val="28"/>
          <w:szCs w:val="28"/>
        </w:rPr>
        <w:t>. 2011. № 10 С. 142–145</w:t>
      </w:r>
      <w:r w:rsidRPr="00513475">
        <w:rPr>
          <w:rFonts w:ascii="Times New Roman" w:hAnsi="Times New Roman"/>
          <w:color w:val="000000"/>
          <w:sz w:val="28"/>
          <w:szCs w:val="28"/>
        </w:rPr>
        <w:t>.</w:t>
      </w:r>
    </w:p>
    <w:p w:rsidR="004C7930" w:rsidRPr="00513475" w:rsidRDefault="004C7930" w:rsidP="004C7930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Потканський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Я. Психоаналіз у літературознавчих дослідженнях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Література. Теорія. Методологія</w:t>
      </w:r>
      <w:r w:rsidRPr="00513475">
        <w:rPr>
          <w:rFonts w:ascii="Times New Roman" w:hAnsi="Times New Roman"/>
          <w:color w:val="000000"/>
          <w:sz w:val="28"/>
          <w:szCs w:val="28"/>
        </w:rPr>
        <w:t> </w:t>
      </w:r>
      <w:r w:rsidRPr="00513475">
        <w:rPr>
          <w:rFonts w:ascii="Times New Roman" w:hAnsi="Times New Roman"/>
          <w:sz w:val="28"/>
          <w:szCs w:val="28"/>
          <w:lang w:bidi="he-IL"/>
        </w:rPr>
        <w:t>:</w:t>
      </w:r>
      <w:r w:rsidRPr="00513475">
        <w:rPr>
          <w:rFonts w:ascii="Times New Roman" w:hAnsi="Times New Roman"/>
          <w:sz w:val="28"/>
          <w:szCs w:val="28"/>
        </w:rPr>
        <w:t xml:space="preserve"> </w:t>
      </w:r>
      <w:r w:rsidRPr="00513475">
        <w:rPr>
          <w:rFonts w:ascii="Times New Roman" w:hAnsi="Times New Roman"/>
          <w:sz w:val="28"/>
          <w:szCs w:val="28"/>
          <w:lang w:bidi="he-IL"/>
        </w:rPr>
        <w:t xml:space="preserve">упор. і наук. ред. Д. </w:t>
      </w:r>
      <w:proofErr w:type="spellStart"/>
      <w:r w:rsidRPr="00513475">
        <w:rPr>
          <w:rFonts w:ascii="Times New Roman" w:hAnsi="Times New Roman"/>
          <w:sz w:val="28"/>
          <w:szCs w:val="28"/>
          <w:lang w:bidi="he-IL"/>
        </w:rPr>
        <w:t>Уліцької</w:t>
      </w:r>
      <w:proofErr w:type="spellEnd"/>
      <w:r w:rsidRPr="00513475">
        <w:rPr>
          <w:rFonts w:ascii="Times New Roman" w:hAnsi="Times New Roman"/>
          <w:sz w:val="28"/>
          <w:szCs w:val="28"/>
          <w:lang w:bidi="he-IL"/>
        </w:rPr>
        <w:t xml:space="preserve">; пер. з </w:t>
      </w:r>
      <w:proofErr w:type="spellStart"/>
      <w:r w:rsidRPr="00513475">
        <w:rPr>
          <w:rFonts w:ascii="Times New Roman" w:hAnsi="Times New Roman"/>
          <w:sz w:val="28"/>
          <w:szCs w:val="28"/>
          <w:lang w:bidi="he-IL"/>
        </w:rPr>
        <w:t>польськ</w:t>
      </w:r>
      <w:proofErr w:type="spellEnd"/>
      <w:r w:rsidRPr="00513475">
        <w:rPr>
          <w:rFonts w:ascii="Times New Roman" w:hAnsi="Times New Roman"/>
          <w:sz w:val="28"/>
          <w:szCs w:val="28"/>
          <w:lang w:bidi="he-IL"/>
        </w:rPr>
        <w:t>. С. Яковенка.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Київ : Видавничий дім «Києво-Могилянська академія», 2006. </w:t>
      </w:r>
      <w:r w:rsidRPr="00513475">
        <w:rPr>
          <w:rFonts w:ascii="Times New Roman" w:hAnsi="Times New Roman"/>
          <w:sz w:val="28"/>
          <w:szCs w:val="28"/>
        </w:rPr>
        <w:t>С. 292–311.</w:t>
      </w:r>
    </w:p>
    <w:p w:rsidR="004C7930" w:rsidRPr="00513475" w:rsidRDefault="004C7930" w:rsidP="004C793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Процик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І. Поняття архетипу в науковій літературі: генетико-теоретичний аспект. </w:t>
      </w:r>
      <w:r w:rsidRPr="00513475">
        <w:rPr>
          <w:rFonts w:ascii="Times New Roman" w:hAnsi="Times New Roman"/>
          <w:i/>
          <w:sz w:val="28"/>
          <w:szCs w:val="28"/>
        </w:rPr>
        <w:t>Вісник Запорізького національного університету</w:t>
      </w:r>
      <w:r w:rsidRPr="00513475">
        <w:rPr>
          <w:rFonts w:ascii="Times New Roman" w:hAnsi="Times New Roman"/>
          <w:sz w:val="28"/>
          <w:szCs w:val="28"/>
        </w:rPr>
        <w:t>. 2009. № 2. С. 56–67.</w:t>
      </w:r>
    </w:p>
    <w:p w:rsidR="004C7930" w:rsidRPr="00513475" w:rsidRDefault="004C7930" w:rsidP="004C793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13475">
        <w:rPr>
          <w:rFonts w:ascii="Times New Roman" w:hAnsi="Times New Roman"/>
          <w:bCs/>
          <w:sz w:val="28"/>
          <w:szCs w:val="28"/>
        </w:rPr>
        <w:t>Скальська</w:t>
      </w:r>
      <w:proofErr w:type="spellEnd"/>
      <w:r w:rsidRPr="00513475">
        <w:rPr>
          <w:rFonts w:ascii="Times New Roman" w:hAnsi="Times New Roman"/>
          <w:bCs/>
          <w:sz w:val="28"/>
          <w:szCs w:val="28"/>
        </w:rPr>
        <w:t xml:space="preserve"> Д. Феноменологія та її естетичний потенціал. </w:t>
      </w:r>
      <w:r w:rsidRPr="00513475">
        <w:rPr>
          <w:rFonts w:ascii="Times New Roman" w:hAnsi="Times New Roman"/>
          <w:i/>
          <w:sz w:val="28"/>
          <w:szCs w:val="28"/>
        </w:rPr>
        <w:t>Прикарпатський вісник НТШ. Думка</w:t>
      </w:r>
      <w:r w:rsidRPr="00513475">
        <w:rPr>
          <w:rFonts w:ascii="Times New Roman" w:hAnsi="Times New Roman"/>
          <w:sz w:val="28"/>
          <w:szCs w:val="28"/>
        </w:rPr>
        <w:t xml:space="preserve">. 2011. № 3 (15). С. 16–27. </w:t>
      </w:r>
    </w:p>
    <w:p w:rsidR="004C7930" w:rsidRPr="00513475" w:rsidRDefault="004C7930" w:rsidP="004C793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13475">
        <w:rPr>
          <w:rFonts w:ascii="Times New Roman" w:hAnsi="Times New Roman"/>
          <w:bCs/>
          <w:sz w:val="28"/>
          <w:szCs w:val="28"/>
        </w:rPr>
        <w:t>Уліцька</w:t>
      </w:r>
      <w:proofErr w:type="spellEnd"/>
      <w:r w:rsidRPr="00513475">
        <w:rPr>
          <w:rFonts w:ascii="Times New Roman" w:hAnsi="Times New Roman"/>
          <w:bCs/>
          <w:sz w:val="28"/>
          <w:szCs w:val="28"/>
        </w:rPr>
        <w:t xml:space="preserve"> Д. Феноменологічна філософія літератури.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Література. Теорія. Методологія</w:t>
      </w:r>
      <w:r w:rsidRPr="00513475">
        <w:rPr>
          <w:rFonts w:ascii="Times New Roman" w:hAnsi="Times New Roman"/>
          <w:color w:val="000000"/>
          <w:sz w:val="28"/>
          <w:szCs w:val="28"/>
        </w:rPr>
        <w:t> </w:t>
      </w:r>
      <w:r w:rsidRPr="00513475">
        <w:rPr>
          <w:rFonts w:ascii="Times New Roman" w:hAnsi="Times New Roman"/>
          <w:sz w:val="28"/>
          <w:szCs w:val="28"/>
          <w:lang w:bidi="he-IL"/>
        </w:rPr>
        <w:t>:</w:t>
      </w:r>
      <w:r w:rsidRPr="00513475">
        <w:rPr>
          <w:rFonts w:ascii="Times New Roman" w:hAnsi="Times New Roman"/>
          <w:sz w:val="28"/>
          <w:szCs w:val="28"/>
        </w:rPr>
        <w:t xml:space="preserve"> </w:t>
      </w:r>
      <w:r w:rsidRPr="00513475">
        <w:rPr>
          <w:rFonts w:ascii="Times New Roman" w:hAnsi="Times New Roman"/>
          <w:sz w:val="28"/>
          <w:szCs w:val="28"/>
          <w:lang w:bidi="he-IL"/>
        </w:rPr>
        <w:t xml:space="preserve">упор. і наук. ред. Д. </w:t>
      </w:r>
      <w:proofErr w:type="spellStart"/>
      <w:r w:rsidRPr="00513475">
        <w:rPr>
          <w:rFonts w:ascii="Times New Roman" w:hAnsi="Times New Roman"/>
          <w:sz w:val="28"/>
          <w:szCs w:val="28"/>
          <w:lang w:bidi="he-IL"/>
        </w:rPr>
        <w:t>Уліцької</w:t>
      </w:r>
      <w:proofErr w:type="spellEnd"/>
      <w:r w:rsidRPr="00513475">
        <w:rPr>
          <w:rFonts w:ascii="Times New Roman" w:hAnsi="Times New Roman"/>
          <w:sz w:val="28"/>
          <w:szCs w:val="28"/>
          <w:lang w:bidi="he-IL"/>
        </w:rPr>
        <w:t xml:space="preserve">; пер. з </w:t>
      </w:r>
      <w:proofErr w:type="spellStart"/>
      <w:r w:rsidRPr="00513475">
        <w:rPr>
          <w:rFonts w:ascii="Times New Roman" w:hAnsi="Times New Roman"/>
          <w:sz w:val="28"/>
          <w:szCs w:val="28"/>
          <w:lang w:bidi="he-IL"/>
        </w:rPr>
        <w:t>польськ</w:t>
      </w:r>
      <w:proofErr w:type="spellEnd"/>
      <w:r w:rsidRPr="00513475">
        <w:rPr>
          <w:rFonts w:ascii="Times New Roman" w:hAnsi="Times New Roman"/>
          <w:sz w:val="28"/>
          <w:szCs w:val="28"/>
          <w:lang w:bidi="he-IL"/>
        </w:rPr>
        <w:t>. С. Яковенка.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Київ : Видавничий дім «Києво-Могилянська академія», 2006. </w:t>
      </w:r>
      <w:r w:rsidRPr="00513475">
        <w:rPr>
          <w:rFonts w:ascii="Times New Roman" w:hAnsi="Times New Roman"/>
          <w:bCs/>
          <w:sz w:val="28"/>
          <w:szCs w:val="28"/>
        </w:rPr>
        <w:t>С. 114–135.</w:t>
      </w:r>
    </w:p>
    <w:p w:rsidR="004C7930" w:rsidRPr="00513475" w:rsidRDefault="004C7930" w:rsidP="004C7930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4C7930" w:rsidRPr="00513475" w:rsidRDefault="004C7930" w:rsidP="004C7930">
      <w:pPr>
        <w:pStyle w:val="a3"/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513475">
        <w:rPr>
          <w:rFonts w:ascii="Times New Roman" w:hAnsi="Times New Roman"/>
          <w:b/>
          <w:sz w:val="28"/>
          <w:szCs w:val="28"/>
        </w:rPr>
        <w:t xml:space="preserve">Методичні вказівки: </w:t>
      </w:r>
    </w:p>
    <w:p w:rsidR="004C7930" w:rsidRPr="00513475" w:rsidRDefault="004C7930" w:rsidP="004C7930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На розвиток зарубіжного літературознавства І пол. ХХ ст. значний вплив справила філософія А. Бергсона та Б. Кроче. Так, А. Бергсон, критикуючи позитивізм і матеріалізм, прийшов до думки про переваги ірраціональної інтуїції над інтелектом. Інтелект не може вважатися засобом пізнання, оскільки він підпорядкований практичній діяльності.  Пізнання можливе тільки через незацікавлене споглядання. У викладі Б. Кроче інтуїція міцно пов'язується з творчою уявою, фантазією, що найповніше відображаються в мистецтві. </w:t>
      </w:r>
    </w:p>
    <w:p w:rsidR="004C7930" w:rsidRPr="00513475" w:rsidRDefault="004C7930" w:rsidP="004C7930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Ще одною </w:t>
      </w:r>
      <w:proofErr w:type="spellStart"/>
      <w:r w:rsidRPr="00513475">
        <w:rPr>
          <w:color w:val="000000"/>
          <w:sz w:val="28"/>
          <w:szCs w:val="28"/>
          <w:lang w:val="uk-UA"/>
        </w:rPr>
        <w:t>інтуїтивістською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теорією, що вплинула на розвиток літературознавства, стала феноменологія – вчення про феномени, предмети в чуттєвому сприйнятті. Феноменологія була покликана звільнити філософське мислення від натуралістичних і об'єктивістських установок. Єдиним способом осягнення істини вважалася інтуїція. Феноменологію </w:t>
      </w:r>
      <w:proofErr w:type="spellStart"/>
      <w:r w:rsidRPr="00513475">
        <w:rPr>
          <w:color w:val="000000"/>
          <w:sz w:val="28"/>
          <w:szCs w:val="28"/>
          <w:lang w:val="uk-UA"/>
        </w:rPr>
        <w:t>Е. Гусе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рля вперше застосував у літературознавстві В. Конрад, а найповніше принципи феноменологічного аналізу були реалізовані в праці </w:t>
      </w:r>
      <w:r w:rsidRPr="00513475">
        <w:rPr>
          <w:sz w:val="28"/>
          <w:szCs w:val="28"/>
          <w:lang w:val="uk-UA"/>
        </w:rPr>
        <w:t xml:space="preserve">«Літературний твір мистецтва» </w:t>
      </w:r>
      <w:proofErr w:type="spellStart"/>
      <w:r w:rsidRPr="00513475">
        <w:rPr>
          <w:color w:val="000000"/>
          <w:sz w:val="28"/>
          <w:szCs w:val="28"/>
          <w:lang w:val="uk-UA"/>
        </w:rPr>
        <w:t>Р. Інгард</w:t>
      </w:r>
      <w:proofErr w:type="spellEnd"/>
      <w:r w:rsidRPr="00513475">
        <w:rPr>
          <w:color w:val="000000"/>
          <w:sz w:val="28"/>
          <w:szCs w:val="28"/>
          <w:lang w:val="uk-UA"/>
        </w:rPr>
        <w:t>ена.</w:t>
      </w:r>
    </w:p>
    <w:p w:rsidR="004C7930" w:rsidRPr="00513475" w:rsidRDefault="004C7930" w:rsidP="004C7930">
      <w:pPr>
        <w:ind w:firstLine="709"/>
        <w:jc w:val="both"/>
        <w:rPr>
          <w:color w:val="000000"/>
          <w:sz w:val="28"/>
          <w:szCs w:val="28"/>
          <w:highlight w:val="yellow"/>
          <w:lang w:val="uk-UA"/>
        </w:rPr>
      </w:pPr>
      <w:r w:rsidRPr="00513475">
        <w:rPr>
          <w:sz w:val="28"/>
          <w:szCs w:val="28"/>
          <w:lang w:val="uk-UA"/>
        </w:rPr>
        <w:t>Теоретичною базою</w:t>
      </w:r>
      <w:r w:rsidRPr="00513475">
        <w:rPr>
          <w:color w:val="000000"/>
          <w:sz w:val="28"/>
          <w:szCs w:val="28"/>
          <w:lang w:val="uk-UA"/>
        </w:rPr>
        <w:t xml:space="preserve"> духовно-історичної школи </w:t>
      </w:r>
      <w:r w:rsidRPr="00513475">
        <w:rPr>
          <w:sz w:val="28"/>
          <w:szCs w:val="28"/>
          <w:lang w:val="uk-UA"/>
        </w:rPr>
        <w:t>стала «філософія життя», німецька романтична естетика та полеміка представників школи з  позитивістами та культурно-історичною школою.</w:t>
      </w:r>
      <w:r w:rsidRPr="00513475">
        <w:rPr>
          <w:color w:val="000000"/>
          <w:sz w:val="28"/>
          <w:szCs w:val="28"/>
          <w:lang w:val="uk-UA"/>
        </w:rPr>
        <w:t xml:space="preserve"> Оформлення духовно-історичної школи  в самостійну течію пов'язане з працею </w:t>
      </w:r>
      <w:r w:rsidRPr="00513475">
        <w:rPr>
          <w:sz w:val="28"/>
          <w:szCs w:val="28"/>
          <w:lang w:val="uk-UA"/>
        </w:rPr>
        <w:t xml:space="preserve">«Побудова історичного світу в науках про дух» основоположника школи </w:t>
      </w:r>
      <w:proofErr w:type="spellStart"/>
      <w:r w:rsidRPr="00513475">
        <w:rPr>
          <w:color w:val="000000"/>
          <w:sz w:val="28"/>
          <w:szCs w:val="28"/>
          <w:lang w:val="uk-UA"/>
        </w:rPr>
        <w:t>В. Діль</w:t>
      </w:r>
      <w:proofErr w:type="spellEnd"/>
      <w:r w:rsidRPr="00513475">
        <w:rPr>
          <w:color w:val="000000"/>
          <w:sz w:val="28"/>
          <w:szCs w:val="28"/>
          <w:lang w:val="uk-UA"/>
        </w:rPr>
        <w:t>тея</w:t>
      </w:r>
      <w:r w:rsidRPr="00513475">
        <w:rPr>
          <w:sz w:val="28"/>
          <w:szCs w:val="28"/>
          <w:lang w:val="uk-UA"/>
        </w:rPr>
        <w:t xml:space="preserve">.  </w:t>
      </w:r>
      <w:proofErr w:type="spellStart"/>
      <w:r w:rsidRPr="00513475">
        <w:rPr>
          <w:sz w:val="28"/>
          <w:szCs w:val="28"/>
          <w:lang w:val="uk-UA"/>
        </w:rPr>
        <w:t>В. Діль</w:t>
      </w:r>
      <w:proofErr w:type="spellEnd"/>
      <w:r w:rsidRPr="00513475">
        <w:rPr>
          <w:sz w:val="28"/>
          <w:szCs w:val="28"/>
          <w:lang w:val="uk-UA"/>
        </w:rPr>
        <w:t xml:space="preserve">тей та його послідовники, зокрема, </w:t>
      </w:r>
      <w:proofErr w:type="spellStart"/>
      <w:r w:rsidRPr="00513475">
        <w:rPr>
          <w:color w:val="000000"/>
          <w:sz w:val="28"/>
          <w:szCs w:val="28"/>
          <w:lang w:val="uk-UA"/>
        </w:rPr>
        <w:t>Ф. Гундо</w:t>
      </w:r>
      <w:proofErr w:type="spellEnd"/>
      <w:r w:rsidRPr="00513475">
        <w:rPr>
          <w:color w:val="000000"/>
          <w:sz w:val="28"/>
          <w:szCs w:val="28"/>
          <w:lang w:val="uk-UA"/>
        </w:rPr>
        <w:t>льф,</w:t>
      </w:r>
      <w:r w:rsidRPr="00513475">
        <w:rPr>
          <w:sz w:val="28"/>
          <w:szCs w:val="28"/>
          <w:lang w:val="uk-UA"/>
        </w:rPr>
        <w:t xml:space="preserve"> розглядали унікальність особистості автора літературного твору і його світогляд на широкому культурному тлі – закоріненим у «дух епохи».</w:t>
      </w:r>
    </w:p>
    <w:p w:rsidR="004C7930" w:rsidRPr="00513475" w:rsidRDefault="004C7930" w:rsidP="004C7930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Своєрідним продовженням психологічної школи у XX ст. стала психоаналітична інтерпретація (або </w:t>
      </w:r>
      <w:proofErr w:type="spellStart"/>
      <w:r w:rsidRPr="00513475">
        <w:rPr>
          <w:sz w:val="28"/>
          <w:szCs w:val="28"/>
          <w:lang w:val="uk-UA"/>
        </w:rPr>
        <w:t>фройдизм</w:t>
      </w:r>
      <w:proofErr w:type="spellEnd"/>
      <w:r w:rsidRPr="00513475">
        <w:rPr>
          <w:sz w:val="28"/>
          <w:szCs w:val="28"/>
          <w:lang w:val="uk-UA"/>
        </w:rPr>
        <w:t xml:space="preserve">). Її основоположником став </w:t>
      </w:r>
      <w:proofErr w:type="spellStart"/>
      <w:r w:rsidRPr="00513475">
        <w:rPr>
          <w:sz w:val="28"/>
          <w:szCs w:val="28"/>
          <w:lang w:val="uk-UA"/>
        </w:rPr>
        <w:lastRenderedPageBreak/>
        <w:t>З. Фр</w:t>
      </w:r>
      <w:proofErr w:type="spellEnd"/>
      <w:r w:rsidRPr="00513475">
        <w:rPr>
          <w:sz w:val="28"/>
          <w:szCs w:val="28"/>
          <w:lang w:val="uk-UA"/>
        </w:rPr>
        <w:t xml:space="preserve">ойд. В основі психоаналізу лежить теорія сублімації (явища культури створюються внаслідок витіснення сексуального бажання), що ґрунтується на тришаровій структурі людської психіки: </w:t>
      </w:r>
      <w:proofErr w:type="spellStart"/>
      <w:r w:rsidRPr="00513475">
        <w:rPr>
          <w:sz w:val="28"/>
          <w:szCs w:val="28"/>
          <w:lang w:val="uk-UA"/>
        </w:rPr>
        <w:t>супер-его</w:t>
      </w:r>
      <w:proofErr w:type="spellEnd"/>
      <w:r w:rsidRPr="00513475">
        <w:rPr>
          <w:sz w:val="28"/>
          <w:szCs w:val="28"/>
          <w:lang w:val="uk-UA"/>
        </w:rPr>
        <w:t xml:space="preserve"> (над-Я, моральний закон), </w:t>
      </w:r>
      <w:proofErr w:type="spellStart"/>
      <w:r w:rsidRPr="00513475">
        <w:rPr>
          <w:sz w:val="28"/>
          <w:szCs w:val="28"/>
          <w:lang w:val="uk-UA"/>
        </w:rPr>
        <w:t>его</w:t>
      </w:r>
      <w:proofErr w:type="spellEnd"/>
      <w:r w:rsidRPr="00513475">
        <w:rPr>
          <w:sz w:val="28"/>
          <w:szCs w:val="28"/>
          <w:lang w:val="uk-UA"/>
        </w:rPr>
        <w:t xml:space="preserve"> (Я, свідомість) та </w:t>
      </w:r>
      <w:proofErr w:type="spellStart"/>
      <w:r w:rsidRPr="00513475">
        <w:rPr>
          <w:sz w:val="28"/>
          <w:szCs w:val="28"/>
          <w:lang w:val="uk-UA"/>
        </w:rPr>
        <w:t>ід</w:t>
      </w:r>
      <w:proofErr w:type="spellEnd"/>
      <w:r w:rsidRPr="00513475">
        <w:rPr>
          <w:sz w:val="28"/>
          <w:szCs w:val="28"/>
          <w:lang w:val="uk-UA"/>
        </w:rPr>
        <w:t xml:space="preserve"> (Воно, індивідуальна підсвідомість). Ідеї психоаналітичної інтерпретації також розроблялися </w:t>
      </w:r>
      <w:r w:rsidRPr="00513475">
        <w:rPr>
          <w:color w:val="000000"/>
          <w:sz w:val="28"/>
          <w:szCs w:val="28"/>
          <w:lang w:val="uk-UA"/>
        </w:rPr>
        <w:t xml:space="preserve">О. Ранком, </w:t>
      </w:r>
      <w:proofErr w:type="spellStart"/>
      <w:r w:rsidRPr="00513475">
        <w:rPr>
          <w:color w:val="000000"/>
          <w:sz w:val="28"/>
          <w:szCs w:val="28"/>
          <w:lang w:val="uk-UA"/>
        </w:rPr>
        <w:t>А. Адле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ром, </w:t>
      </w:r>
      <w:proofErr w:type="spellStart"/>
      <w:r w:rsidRPr="00513475">
        <w:rPr>
          <w:color w:val="000000"/>
          <w:sz w:val="28"/>
          <w:szCs w:val="28"/>
          <w:lang w:val="uk-UA"/>
        </w:rPr>
        <w:t>Е. Фром</w:t>
      </w:r>
      <w:proofErr w:type="spellEnd"/>
      <w:r w:rsidRPr="00513475">
        <w:rPr>
          <w:color w:val="000000"/>
          <w:sz w:val="28"/>
          <w:szCs w:val="28"/>
          <w:lang w:val="uk-UA"/>
        </w:rPr>
        <w:t>мом.</w:t>
      </w:r>
    </w:p>
    <w:p w:rsidR="004C7930" w:rsidRPr="00513475" w:rsidRDefault="004C7930" w:rsidP="004C7930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Ще одним різновидом психологічного та </w:t>
      </w:r>
      <w:proofErr w:type="spellStart"/>
      <w:r w:rsidRPr="00513475">
        <w:rPr>
          <w:sz w:val="28"/>
          <w:szCs w:val="28"/>
          <w:lang w:val="uk-UA"/>
        </w:rPr>
        <w:t>неоміфологічного</w:t>
      </w:r>
      <w:proofErr w:type="spellEnd"/>
      <w:r w:rsidRPr="00513475">
        <w:rPr>
          <w:sz w:val="28"/>
          <w:szCs w:val="28"/>
          <w:lang w:val="uk-UA"/>
        </w:rPr>
        <w:t xml:space="preserve"> напрямів можна вважати </w:t>
      </w:r>
      <w:proofErr w:type="spellStart"/>
      <w:r w:rsidRPr="00513475">
        <w:rPr>
          <w:sz w:val="28"/>
          <w:szCs w:val="28"/>
          <w:lang w:val="uk-UA"/>
        </w:rPr>
        <w:t>архетипну</w:t>
      </w:r>
      <w:proofErr w:type="spellEnd"/>
      <w:r w:rsidRPr="00513475">
        <w:rPr>
          <w:sz w:val="28"/>
          <w:szCs w:val="28"/>
          <w:lang w:val="uk-UA"/>
        </w:rPr>
        <w:t xml:space="preserve"> критику. Її зачинателем став К.-Г. Юнг. Він вважав, що творча енергія у процесі художнього творення походить не лише від індивідуального, а передусім від колективного підсвідомого (певного класу, народу, нації, раси, людства взагалі). Структуру цього підсвідомого утворюють архетипи, </w:t>
      </w:r>
      <w:proofErr w:type="spellStart"/>
      <w:r w:rsidRPr="00513475">
        <w:rPr>
          <w:sz w:val="28"/>
          <w:szCs w:val="28"/>
          <w:lang w:val="uk-UA"/>
        </w:rPr>
        <w:t>першообрази</w:t>
      </w:r>
      <w:proofErr w:type="spellEnd"/>
      <w:r w:rsidRPr="00513475">
        <w:rPr>
          <w:sz w:val="28"/>
          <w:szCs w:val="28"/>
          <w:lang w:val="uk-UA"/>
        </w:rPr>
        <w:t xml:space="preserve">. Звідси, творчий процес – це процес одухотворення архетипів, їх художнє розгортання. Однак основоположником </w:t>
      </w:r>
      <w:proofErr w:type="spellStart"/>
      <w:r w:rsidRPr="00513475">
        <w:rPr>
          <w:sz w:val="28"/>
          <w:szCs w:val="28"/>
          <w:lang w:val="uk-UA"/>
        </w:rPr>
        <w:t>архетипної</w:t>
      </w:r>
      <w:proofErr w:type="spellEnd"/>
      <w:r w:rsidRPr="00513475">
        <w:rPr>
          <w:sz w:val="28"/>
          <w:szCs w:val="28"/>
          <w:lang w:val="uk-UA"/>
        </w:rPr>
        <w:t xml:space="preserve"> критики вважають Н. Фрая. Він відрізняв антропологічний, психологічний та літературний архетипи. Літературний архетип Н. Фрай розумів як низку образів, що переходять із твору у твір. </w:t>
      </w:r>
    </w:p>
    <w:p w:rsidR="004C7930" w:rsidRPr="00513475" w:rsidRDefault="004C7930" w:rsidP="004C79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sz w:val="28"/>
          <w:szCs w:val="28"/>
        </w:rPr>
        <w:t xml:space="preserve">Європейська традиція текстуальної інтерпретації бере свій початок від античної та християнської герменевтики. Основоположником герменевтики як науки розуміння є </w:t>
      </w:r>
      <w:proofErr w:type="spellStart"/>
      <w:r w:rsidRPr="00513475">
        <w:rPr>
          <w:rFonts w:ascii="Times New Roman" w:hAnsi="Times New Roman"/>
          <w:sz w:val="28"/>
          <w:szCs w:val="28"/>
        </w:rPr>
        <w:t>Ф. Шлейєрма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хер. Він виділяв два методи інтерпретації: об’єктивно-історичний і </w:t>
      </w:r>
      <w:proofErr w:type="spellStart"/>
      <w:r w:rsidRPr="00513475">
        <w:rPr>
          <w:rFonts w:ascii="Times New Roman" w:hAnsi="Times New Roman"/>
          <w:sz w:val="28"/>
          <w:szCs w:val="28"/>
        </w:rPr>
        <w:t>суб’єктивно-дивінаторний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(інтуїтивний). Загалом, інтерпретація має психологічний характер і рухається по «</w:t>
      </w:r>
      <w:proofErr w:type="spellStart"/>
      <w:r w:rsidRPr="00513475">
        <w:rPr>
          <w:rFonts w:ascii="Times New Roman" w:hAnsi="Times New Roman"/>
          <w:sz w:val="28"/>
          <w:szCs w:val="28"/>
        </w:rPr>
        <w:t>герменевтичному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колу» (від цілого до частини й навпаки). Органічним продовженням традицій класичної герменевтики стала онтологічна (філософська) герменевтика (основоположник – </w:t>
      </w:r>
      <w:proofErr w:type="spellStart"/>
      <w:r w:rsidRPr="00513475">
        <w:rPr>
          <w:rFonts w:ascii="Times New Roman" w:hAnsi="Times New Roman"/>
          <w:sz w:val="28"/>
          <w:szCs w:val="28"/>
        </w:rPr>
        <w:t>М. Гайдеґ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ґер). 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Дальшого розвитку герменевтики досягнуто зусиллями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В. Діль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тея,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Е. Гуссе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рля,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Г. Гадам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ера,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П. Рік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ера,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Е. Д. Хі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>рша та ін.</w:t>
      </w:r>
    </w:p>
    <w:p w:rsidR="004C7930" w:rsidRPr="00513475" w:rsidRDefault="004C7930" w:rsidP="004C79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7930" w:rsidRPr="00513475" w:rsidRDefault="004C7930" w:rsidP="004C7930">
      <w:pPr>
        <w:pStyle w:val="a3"/>
        <w:spacing w:after="0" w:line="240" w:lineRule="auto"/>
        <w:ind w:left="426"/>
        <w:rPr>
          <w:rFonts w:ascii="Times New Roman" w:hAnsi="Times New Roman"/>
          <w:b/>
          <w:color w:val="000000"/>
          <w:sz w:val="28"/>
          <w:szCs w:val="28"/>
        </w:rPr>
      </w:pPr>
      <w:r w:rsidRPr="00513475">
        <w:rPr>
          <w:rFonts w:ascii="Times New Roman" w:hAnsi="Times New Roman"/>
          <w:b/>
          <w:color w:val="000000"/>
          <w:sz w:val="28"/>
          <w:szCs w:val="28"/>
        </w:rPr>
        <w:t>ЗАВДАННЯ: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1. За «Антологією світової літературно-критичної думки ХХ століття» М. Зубрицької (Львів, 2002. – 831 с.) прочитати праці: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З. Фро</w:t>
      </w:r>
      <w:proofErr w:type="spellEnd"/>
      <w:r w:rsidRPr="00513475">
        <w:rPr>
          <w:sz w:val="28"/>
          <w:szCs w:val="28"/>
          <w:lang w:val="uk-UA"/>
        </w:rPr>
        <w:t>йд «Поет і фантазування» (С. 109–118);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К.-Г. Юнг «Психологія та поезія» (С. 119–141);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Н. Фр</w:t>
      </w:r>
      <w:proofErr w:type="spellEnd"/>
      <w:r w:rsidRPr="00513475">
        <w:rPr>
          <w:sz w:val="28"/>
          <w:szCs w:val="28"/>
          <w:lang w:val="uk-UA"/>
        </w:rPr>
        <w:t>ай «</w:t>
      </w:r>
      <w:proofErr w:type="spellStart"/>
      <w:r w:rsidRPr="00513475">
        <w:rPr>
          <w:sz w:val="28"/>
          <w:szCs w:val="28"/>
          <w:lang w:val="uk-UA"/>
        </w:rPr>
        <w:t>Архетипний</w:t>
      </w:r>
      <w:proofErr w:type="spellEnd"/>
      <w:r w:rsidRPr="00513475">
        <w:rPr>
          <w:sz w:val="28"/>
          <w:szCs w:val="28"/>
          <w:lang w:val="uk-UA"/>
        </w:rPr>
        <w:t xml:space="preserve"> аналіз: теорія </w:t>
      </w:r>
      <w:proofErr w:type="spellStart"/>
      <w:r w:rsidRPr="00513475">
        <w:rPr>
          <w:sz w:val="28"/>
          <w:szCs w:val="28"/>
          <w:lang w:val="uk-UA"/>
        </w:rPr>
        <w:t>мітів</w:t>
      </w:r>
      <w:proofErr w:type="spellEnd"/>
      <w:r w:rsidRPr="00513475">
        <w:rPr>
          <w:sz w:val="28"/>
          <w:szCs w:val="28"/>
          <w:lang w:val="uk-UA"/>
        </w:rPr>
        <w:t>» (С. 142–175);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Г. Г. Гадам</w:t>
      </w:r>
      <w:proofErr w:type="spellEnd"/>
      <w:r w:rsidRPr="00513475">
        <w:rPr>
          <w:sz w:val="28"/>
          <w:szCs w:val="28"/>
          <w:lang w:val="uk-UA"/>
        </w:rPr>
        <w:t>ер «Поезія і філософія» (С. 264–271);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Р. Інгард</w:t>
      </w:r>
      <w:proofErr w:type="spellEnd"/>
      <w:r w:rsidRPr="00513475">
        <w:rPr>
          <w:sz w:val="28"/>
          <w:szCs w:val="28"/>
          <w:lang w:val="uk-UA"/>
        </w:rPr>
        <w:t>ен «Про пізнавання літературного твору» (С. 176–208).</w:t>
      </w:r>
    </w:p>
    <w:p w:rsidR="004C7930" w:rsidRPr="00513475" w:rsidRDefault="004C7930" w:rsidP="004C7930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2.  На матеріалі біографій українських письменників (Т. Шевченка, П. Куліша, І. Нечуя-Левицького) провести письмове дослідження «</w:t>
      </w:r>
      <w:proofErr w:type="spellStart"/>
      <w:r w:rsidRPr="00513475">
        <w:rPr>
          <w:sz w:val="28"/>
          <w:szCs w:val="28"/>
          <w:lang w:val="uk-UA"/>
        </w:rPr>
        <w:t>Едіпів</w:t>
      </w:r>
      <w:proofErr w:type="spellEnd"/>
      <w:r w:rsidRPr="00513475">
        <w:rPr>
          <w:sz w:val="28"/>
          <w:szCs w:val="28"/>
          <w:lang w:val="uk-UA"/>
        </w:rPr>
        <w:t xml:space="preserve"> комплекс та українська чоловіча ментальність».</w:t>
      </w:r>
    </w:p>
    <w:p w:rsidR="004C7930" w:rsidRPr="00513475" w:rsidRDefault="004C7930" w:rsidP="004C7930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0F2DE2" w:rsidRPr="004C7930" w:rsidRDefault="000F2DE2">
      <w:pPr>
        <w:rPr>
          <w:lang w:val="uk-UA"/>
        </w:rPr>
      </w:pPr>
      <w:bookmarkStart w:id="0" w:name="_GoBack"/>
      <w:bookmarkEnd w:id="0"/>
    </w:p>
    <w:sectPr w:rsidR="000F2DE2" w:rsidRPr="004C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59CD"/>
    <w:multiLevelType w:val="hybridMultilevel"/>
    <w:tmpl w:val="88B27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74B25"/>
    <w:multiLevelType w:val="hybridMultilevel"/>
    <w:tmpl w:val="D158B830"/>
    <w:lvl w:ilvl="0" w:tplc="A0766E7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663F8E"/>
    <w:multiLevelType w:val="hybridMultilevel"/>
    <w:tmpl w:val="D4FE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6F"/>
    <w:rsid w:val="000F2DE2"/>
    <w:rsid w:val="003C1A2A"/>
    <w:rsid w:val="004C7930"/>
    <w:rsid w:val="0078006F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ListParagraph">
    <w:name w:val="List Paragraph"/>
    <w:basedOn w:val="a"/>
    <w:rsid w:val="004C79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ListParagraph">
    <w:name w:val="List Paragraph"/>
    <w:basedOn w:val="a"/>
    <w:rsid w:val="004C79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5906</Characters>
  <Application>Microsoft Office Word</Application>
  <DocSecurity>0</DocSecurity>
  <Lines>49</Lines>
  <Paragraphs>13</Paragraphs>
  <ScaleCrop>false</ScaleCrop>
  <Company>diakov.net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2024-09-09T10:40:00Z</dcterms:created>
  <dcterms:modified xsi:type="dcterms:W3CDTF">2024-09-09T10:40:00Z</dcterms:modified>
</cp:coreProperties>
</file>