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26" w:rsidRDefault="00234D26" w:rsidP="00234D26">
      <w:pPr>
        <w:jc w:val="center"/>
        <w:rPr>
          <w:lang w:val="uk-UA"/>
        </w:rPr>
      </w:pPr>
      <w:r>
        <w:rPr>
          <w:lang w:val="uk-UA"/>
        </w:rPr>
        <w:t>ПИТАННЯ ДО ІСПИТУ З РАДІАЦІЙНОЇ БЕЗПЕКИ</w:t>
      </w:r>
    </w:p>
    <w:p w:rsidR="00B61501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Поняття про іонізуюче випромінювання (ІВ)</w:t>
      </w:r>
    </w:p>
    <w:p w:rsidR="00A458B7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Джерела ІВ</w:t>
      </w:r>
    </w:p>
    <w:p w:rsidR="00A458B7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Активність радіонукліду, питома активність</w:t>
      </w:r>
    </w:p>
    <w:p w:rsidR="00A458B7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Період напіврозпаду</w:t>
      </w:r>
    </w:p>
    <w:p w:rsidR="00A458B7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Експозиційна доза, її потужність</w:t>
      </w:r>
    </w:p>
    <w:p w:rsidR="00A458B7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Поглинена доза, її потужність</w:t>
      </w:r>
    </w:p>
    <w:p w:rsidR="00A458B7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Керма, зв'язок з поглиненою дозою</w:t>
      </w:r>
    </w:p>
    <w:p w:rsidR="00A458B7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Еквівалентна доза</w:t>
      </w:r>
    </w:p>
    <w:p w:rsidR="00A458B7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Ефективна доза</w:t>
      </w:r>
    </w:p>
    <w:p w:rsidR="00A458B7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Енергія випромінювання, її зв'язок з довжиною хвилі та частотою</w:t>
      </w:r>
    </w:p>
    <w:p w:rsidR="00A458B7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Ультрафіолетове випромінювання</w:t>
      </w:r>
    </w:p>
    <w:p w:rsidR="00A458B7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Рентгенівське випромінювання</w:t>
      </w:r>
    </w:p>
    <w:p w:rsidR="00A458B7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γ-проміні</w:t>
      </w:r>
    </w:p>
    <w:p w:rsidR="00A458B7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α-проміні</w:t>
      </w:r>
    </w:p>
    <w:p w:rsidR="00A458B7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β-проміні</w:t>
      </w:r>
    </w:p>
    <w:p w:rsidR="00A458B7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Нейтронне випромінювання</w:t>
      </w:r>
    </w:p>
    <w:p w:rsidR="00A458B7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Протонне випромінювання</w:t>
      </w:r>
    </w:p>
    <w:p w:rsidR="00A458B7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Наведена радіоактивність</w:t>
      </w:r>
    </w:p>
    <w:p w:rsidR="00A458B7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Концепція </w:t>
      </w:r>
      <w:proofErr w:type="spellStart"/>
      <w:r>
        <w:rPr>
          <w:lang w:val="uk-UA"/>
        </w:rPr>
        <w:t>безпорогового</w:t>
      </w:r>
      <w:proofErr w:type="spellEnd"/>
      <w:r>
        <w:rPr>
          <w:lang w:val="uk-UA"/>
        </w:rPr>
        <w:t xml:space="preserve"> впливу ІВ</w:t>
      </w:r>
    </w:p>
    <w:p w:rsidR="00A458B7" w:rsidRDefault="00A458B7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Біологічна дія ІВ</w:t>
      </w:r>
    </w:p>
    <w:p w:rsidR="00536CA4" w:rsidRDefault="00536CA4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Ефекти впливу ІВ</w:t>
      </w:r>
    </w:p>
    <w:p w:rsidR="00536CA4" w:rsidRDefault="00536CA4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Стохастичні ефекти</w:t>
      </w:r>
    </w:p>
    <w:p w:rsidR="00536CA4" w:rsidRDefault="00536CA4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Детерміновані ефекти</w:t>
      </w:r>
    </w:p>
    <w:p w:rsidR="00536CA4" w:rsidRDefault="00536CA4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Клінічні форми гострої променевої хвороби (ГПХ)</w:t>
      </w:r>
    </w:p>
    <w:p w:rsidR="00536CA4" w:rsidRDefault="00536CA4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Періоди </w:t>
      </w:r>
      <w:proofErr w:type="spellStart"/>
      <w:r>
        <w:rPr>
          <w:lang w:val="uk-UA"/>
        </w:rPr>
        <w:t>кіст</w:t>
      </w:r>
      <w:r w:rsidR="008728AD">
        <w:rPr>
          <w:lang w:val="uk-UA"/>
        </w:rPr>
        <w:t>к</w:t>
      </w:r>
      <w:r>
        <w:rPr>
          <w:lang w:val="uk-UA"/>
        </w:rPr>
        <w:t>о</w:t>
      </w:r>
      <w:bookmarkStart w:id="0" w:name="_GoBack"/>
      <w:bookmarkEnd w:id="0"/>
      <w:r>
        <w:rPr>
          <w:lang w:val="uk-UA"/>
        </w:rPr>
        <w:t>мозкової</w:t>
      </w:r>
      <w:proofErr w:type="spellEnd"/>
      <w:r>
        <w:rPr>
          <w:lang w:val="uk-UA"/>
        </w:rPr>
        <w:t xml:space="preserve"> ГПХ</w:t>
      </w:r>
    </w:p>
    <w:p w:rsidR="00536CA4" w:rsidRDefault="00536CA4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Гострі променеві ураження шкіри</w:t>
      </w:r>
    </w:p>
    <w:p w:rsidR="00536CA4" w:rsidRDefault="00536CA4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Внутрішнє опромінювання</w:t>
      </w:r>
    </w:p>
    <w:p w:rsidR="00536CA4" w:rsidRDefault="00536CA4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Хронічна променева хвороба</w:t>
      </w:r>
    </w:p>
    <w:p w:rsidR="00536CA4" w:rsidRDefault="00536CA4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Ефективний період </w:t>
      </w:r>
      <w:proofErr w:type="spellStart"/>
      <w:r>
        <w:rPr>
          <w:lang w:val="uk-UA"/>
        </w:rPr>
        <w:t>напіввиведення</w:t>
      </w:r>
      <w:proofErr w:type="spellEnd"/>
    </w:p>
    <w:p w:rsidR="00536CA4" w:rsidRDefault="00536CA4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Принципи захисту в НРБУ</w:t>
      </w:r>
    </w:p>
    <w:p w:rsidR="00536CA4" w:rsidRDefault="00536CA4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Сфера дії НРБУ</w:t>
      </w:r>
    </w:p>
    <w:p w:rsidR="00536CA4" w:rsidRDefault="00536CA4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Категорії осіб, що опромінюються</w:t>
      </w:r>
    </w:p>
    <w:p w:rsidR="00536CA4" w:rsidRDefault="00536CA4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Регламенти 1 групи</w:t>
      </w:r>
    </w:p>
    <w:p w:rsidR="00536CA4" w:rsidRDefault="00536CA4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Опромінення персоналу</w:t>
      </w:r>
    </w:p>
    <w:p w:rsidR="00536CA4" w:rsidRDefault="00536CA4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Опромінення населення (категорія В)</w:t>
      </w:r>
    </w:p>
    <w:p w:rsidR="00536CA4" w:rsidRDefault="00536CA4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Підвищене опромінення персоналу, що планується</w:t>
      </w:r>
    </w:p>
    <w:p w:rsidR="00536CA4" w:rsidRDefault="00536CA4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Регламенти 2 групи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Категорії пацієнтів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Регламенти 3 групи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lastRenderedPageBreak/>
        <w:t>Види радіаційних аварій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Класифікація радіаційних аварій за масштабом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Фази розвитку радіаційної комунальної аварії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Населення в умовах радіаційної аварії</w:t>
      </w:r>
    </w:p>
    <w:p w:rsidR="009B4AC8" w:rsidRDefault="009B4AC8" w:rsidP="009B4AC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Контрзаходи щодо захисту населення в умовах радіаційної аварії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Регламенти 4 групи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Вимоги до будівельних матеріалів з радіаційної безпеки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Нормування вмісту радону у повітрі та воді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Захист відстанню та часом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Застосування ручних захватів та універсальних маніпуляторів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Екранування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Засоби індивідуального захисту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Захист очей від ІВ та радіоактивного пилу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Захист органів дихання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Організація робіт з джерелами ІВ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Класифікація радіоактивних речовин за небезпекою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Класифікація робіт з відкритими джерелами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Вентиляція при роботі з радіоактивними речовинами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Очищення радіоактивних викидів</w:t>
      </w:r>
    </w:p>
    <w:p w:rsidR="009B4AC8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Дезактивація</w:t>
      </w:r>
    </w:p>
    <w:p w:rsidR="00A458B7" w:rsidRDefault="009B4AC8" w:rsidP="00A458B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Видалення радіоактивних відходів</w:t>
      </w:r>
      <w:r w:rsidR="00A458B7">
        <w:rPr>
          <w:lang w:val="uk-UA"/>
        </w:rPr>
        <w:t xml:space="preserve"> </w:t>
      </w:r>
    </w:p>
    <w:p w:rsidR="00A458B7" w:rsidRPr="00A458B7" w:rsidRDefault="00A458B7" w:rsidP="00A458B7">
      <w:pPr>
        <w:rPr>
          <w:lang w:val="uk-UA"/>
        </w:rPr>
      </w:pPr>
    </w:p>
    <w:sectPr w:rsidR="00A458B7" w:rsidRPr="00A458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2816"/>
    <w:multiLevelType w:val="hybridMultilevel"/>
    <w:tmpl w:val="AECA2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27"/>
    <w:rsid w:val="00234D26"/>
    <w:rsid w:val="00477927"/>
    <w:rsid w:val="00536CA4"/>
    <w:rsid w:val="00645E5B"/>
    <w:rsid w:val="008728AD"/>
    <w:rsid w:val="009B4AC8"/>
    <w:rsid w:val="00A458B7"/>
    <w:rsid w:val="00B61501"/>
    <w:rsid w:val="00C54392"/>
    <w:rsid w:val="00F9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</dc:creator>
  <cp:keywords/>
  <dc:description/>
  <cp:lastModifiedBy>HomeUse</cp:lastModifiedBy>
  <cp:revision>6</cp:revision>
  <dcterms:created xsi:type="dcterms:W3CDTF">2013-12-24T16:02:00Z</dcterms:created>
  <dcterms:modified xsi:type="dcterms:W3CDTF">2014-11-24T14:37:00Z</dcterms:modified>
</cp:coreProperties>
</file>