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62" w:rsidRPr="00D80340" w:rsidRDefault="00017962" w:rsidP="00D80340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BB689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80340">
        <w:rPr>
          <w:rFonts w:ascii="Times New Roman" w:hAnsi="Times New Roman" w:cs="Times New Roman"/>
          <w:b/>
          <w:sz w:val="28"/>
          <w:szCs w:val="28"/>
          <w:lang w:val="uk-UA"/>
        </w:rPr>
        <w:t>. Фінансов</w:t>
      </w:r>
      <w:r w:rsidR="00D80340" w:rsidRPr="00D80340">
        <w:rPr>
          <w:rFonts w:ascii="Times New Roman" w:hAnsi="Times New Roman" w:cs="Times New Roman"/>
          <w:b/>
          <w:sz w:val="28"/>
          <w:szCs w:val="28"/>
          <w:lang w:val="uk-UA"/>
        </w:rPr>
        <w:t>і системи країн Західної Європи</w:t>
      </w:r>
    </w:p>
    <w:p w:rsidR="00604208" w:rsidRPr="00F11777" w:rsidRDefault="00604208" w:rsidP="00F117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EFE" w:rsidRDefault="00017962" w:rsidP="00F117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777">
        <w:rPr>
          <w:rFonts w:ascii="Times New Roman" w:hAnsi="Times New Roman" w:cs="Times New Roman"/>
          <w:sz w:val="28"/>
          <w:szCs w:val="28"/>
          <w:lang w:val="uk-UA"/>
        </w:rPr>
        <w:t>Фінансова система Великої Британії.</w:t>
      </w:r>
    </w:p>
    <w:p w:rsidR="00E028DE" w:rsidRPr="00F11777" w:rsidRDefault="00E028DE" w:rsidP="00F117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Податкова система Великобританії та її особливості.</w:t>
      </w:r>
    </w:p>
    <w:p w:rsidR="00017962" w:rsidRPr="00875CE4" w:rsidRDefault="00017962" w:rsidP="00F117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CE4">
        <w:rPr>
          <w:rFonts w:ascii="Times New Roman" w:hAnsi="Times New Roman" w:cs="Times New Roman"/>
          <w:sz w:val="28"/>
          <w:szCs w:val="28"/>
          <w:lang w:val="uk-UA"/>
        </w:rPr>
        <w:t>Фінансова система Франції.</w:t>
      </w:r>
    </w:p>
    <w:p w:rsidR="000F268C" w:rsidRPr="00875CE4" w:rsidRDefault="00875CE4" w:rsidP="00F117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CE4">
        <w:rPr>
          <w:rFonts w:ascii="Times New Roman" w:hAnsi="Times New Roman" w:cs="Times New Roman"/>
          <w:sz w:val="28"/>
          <w:szCs w:val="28"/>
          <w:lang w:val="uk-UA"/>
        </w:rPr>
        <w:t>Податкова система Франції</w:t>
      </w:r>
      <w:r w:rsidR="007E17FA">
        <w:rPr>
          <w:rFonts w:ascii="Times New Roman" w:hAnsi="Times New Roman" w:cs="Times New Roman"/>
          <w:sz w:val="28"/>
          <w:szCs w:val="28"/>
          <w:lang w:val="uk-UA"/>
        </w:rPr>
        <w:t xml:space="preserve"> та її особливості</w:t>
      </w:r>
      <w:r w:rsidRPr="00875C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962" w:rsidRDefault="00017962" w:rsidP="00F117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A75">
        <w:rPr>
          <w:rFonts w:ascii="Times New Roman" w:hAnsi="Times New Roman" w:cs="Times New Roman"/>
          <w:sz w:val="28"/>
          <w:szCs w:val="28"/>
          <w:lang w:val="uk-UA"/>
        </w:rPr>
        <w:t>Фінансова система Німеччини.</w:t>
      </w:r>
    </w:p>
    <w:p w:rsidR="007E17FA" w:rsidRPr="007E17FA" w:rsidRDefault="007E17FA" w:rsidP="007E17F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Податкова система Німеччини та її особливості</w:t>
      </w:r>
      <w:r w:rsidRPr="00875C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962" w:rsidRPr="00F11777" w:rsidRDefault="00017962" w:rsidP="00F1177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962" w:rsidRPr="00F11777" w:rsidRDefault="00017962" w:rsidP="004F48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777">
        <w:rPr>
          <w:rFonts w:ascii="Times New Roman" w:hAnsi="Times New Roman" w:cs="Times New Roman"/>
          <w:b/>
          <w:sz w:val="28"/>
          <w:szCs w:val="28"/>
          <w:lang w:val="uk-UA"/>
        </w:rPr>
        <w:t>Фінансова система Великої Британії.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Повна офіційна назва країни — Об'єднане Королівство</w:t>
      </w:r>
      <w:r w:rsidR="000317F9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Великої Британії та Північної Ірландії. До складу Об'єднаного Королівства входять Англія, Шотландія та Уельс, розташовані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острові Велика</w:t>
      </w:r>
      <w:r w:rsidR="000317F9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Британія, а також провінція Пів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нічна Ірландія, що складається з 6 округів і міститься на острові Ірландія. Крім того, Об'єднане Королівство має тісні політичні й економічні зв'язки із самоврядними територіями — такими як острів Мен в Ірландському морі і Нормандськ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острови, що лежать біля півні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чно-західного узбережжя Франції, у протоці Ла-Манш.</w:t>
      </w:r>
    </w:p>
    <w:p w:rsidR="00017962" w:rsidRPr="00F11777" w:rsidRDefault="00017962" w:rsidP="002433F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Велика Британія є унітарною державою. Глава держави — монарх (королева або король). Згідно конституційних норм вона також є главою виконавчої і судової влади, а також невід'ємною частиною законодавчої влади. 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Вища законодавча і верховна вла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 в Об'єднаному Королівстві представлена Вестмінстерським Парламентом, що складається з трьох частин: глави держави — монарха (Королева), Палати лордів (Верхня Палата) і Палати громад (Нижня Палата). 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Обидві палати і мо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нарх беруть участь у законод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авчому процесі. До складу Парла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менту Сполученого Королівства входять представники Англії, Північної Ірландії, Шотландії та Уельсу.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Однією з найважливіших функцій Королеви є призначення Прем'єр-міністра і Першого міністра, що є главою виконавчої влади Шотландії. Лідер 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політичної партії, яка набрала більшість місць у парламенті, стає прем’єр-міністром і формує уряд, який керуватиме країною. Також Королева затверджує призначення інших міністрів. Усі витрати, які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несе Королева у зв'язку з вико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нанням нею державних обов'яз</w:t>
      </w:r>
      <w:r w:rsidR="00663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ків, фінансуються за рахунок ко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штів, які виділяються Парламентом на утримання королівських палаців та її переїзди.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Основним завданням Вест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мінстерського Парламенту, а точ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ніше Палати громад, в галузі державних фінансів є затвердження ставок податків та зборів, видаткових статей і сум за кожною з них. Палата також стежить за тим, щоб виділені суми 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витрачали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 тільки на передбачені Парламентом цілі.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розподіл функцій між суб'єктами в</w:t>
      </w:r>
      <w:r w:rsidR="00E41108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иконавчої влади у Вели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Британії (департаменти), а також за призначення і змі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щення міністрів відповідає Прем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'єр-міністр, який за традицією є також Першим лордом Казначейств</w:t>
      </w:r>
      <w:r w:rsidR="00663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 За обсягом повноважень стано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вище Прем'єр-міністра унікальне, тому що він має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підтримку бі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льшості депутатів Палати грома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 і за діючим на сьогодні прави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лом сам засідає в цій Палаті.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Прем'єр-міністр призначає 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 міністрів (Державні секрета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рі, Державні міністри і Молод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ші міністри). Міністри, які очо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люють департаменти (міністерств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а), є Державними секретаря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ми. Разом з тим вони можуть носити спеціальні титули: наприклад, Казначейство очо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лює Канцлер казначейства. Держа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вним секретарям підлеглі Державні міністри, що очолюють окремі напрямки діяльності департаментів, і Молодші міністри (або просто секретарі), які поєднують роботу в департаментах з роботою в Парламенті з розробки законопроектів. 20 Державних секретарів входять у Кабінет міністрів, що координує роботу департаментів, приймає найва</w:t>
      </w:r>
      <w:r w:rsidR="00CD6480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жливіші рішення з питань політи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та економіки.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структурі виконавчої вла</w:t>
      </w:r>
      <w:r w:rsidR="006B02ED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 Великої Британії є територіа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льні міністерства, які відповідають за політику відповідно до делегування повноважень Шот</w:t>
      </w:r>
      <w:r w:rsidR="004F48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ландії, Уельсу та Пі</w:t>
      </w:r>
      <w:r w:rsidR="006B02ED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внічної Ірла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ндії.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Система державних фінансів Великобританії складається з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— бюджету центрального уряду;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місцевих бюджетів;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спеціальних позабюджетних фондів;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фінансів державних корпорацій.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Головну роль у складі державних фінансів відіграє бюджет центрального уряду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(центральний бюджет Великобританії),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який виконується у розрізі двох частин: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консолідованого фонду (рахунку поточних надходжень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видатків), через який перерозподіляється основна частина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 державного бюджету;</w:t>
      </w:r>
    </w:p>
    <w:p w:rsidR="00075ABA" w:rsidRPr="00075ABA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національного фонду позик (бюджету капіталовкладень).</w:t>
      </w:r>
    </w:p>
    <w:p w:rsidR="004F4842" w:rsidRDefault="00075ABA" w:rsidP="00075AB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Консолідований фонд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спеціальний рахунок Міністерства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фінансів Великобританії в Банку Англії. Основними доходами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консолідованого фонду є податки, за рахунок 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формується близько 95% цієї частини бюджету. 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консолідованого фонду здійснюються переважно видатки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поточного характеру, а також витрати постійного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обслуговування, які не затверджуються парламентом (кошти,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спрямовуються у національний фонд позик для сплати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відсотків за державним боргом, витрати за цивільним 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видатки на утримання королеви).</w:t>
      </w:r>
    </w:p>
    <w:p w:rsidR="003E06DD" w:rsidRPr="003E06DD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Видатки Консолідованого фонду включають дві групи: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видатки щорічно затверджувані Парламентом;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видатки з Консолідованого фонду для постійного обслуговування, не розгулянуті в Парламентті.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 затверджувані входять основні витрати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військові асигнування, що підрозділяються на прямі і непрямі військові витрати; </w:t>
      </w:r>
      <w:r w:rsidR="00125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цивільні 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статті, у яких відбиваються витрати на промисловість, сільське господарство та інші галузі, утримання апарату управління, соціальні витрати, субсидії місцевим органам влади і країна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м, що розвиваються.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видатків з втручання в економіку належать і витрати на науково-дослідні і дослідно-конструкторські розробки (НДДКР) </w:t>
      </w:r>
      <w:r w:rsidR="004B3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0,6 %.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 видатках на соціальні цілі 15 % припадає на пенсії, 11 % — на допомогу особам з низькими доходами та по безробіттю, 13 % — на медичне обслуговування, 4 % — на всі інші витрати.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5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Видатки на утримання державного апарату управління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включають: витрати на утримання органів законодавчої і виконавчої влади, суду, прокуратури, поліції, різних міністерств і відомств.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Видатки для постійного обслуго</w:t>
      </w:r>
      <w:r w:rsidR="001255B8"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1255B8"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ання включають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відсотки по державному боргу</w:t>
      </w:r>
      <w:r w:rsidR="004B3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у 2017 р. – 87,7% від ВВП</w:t>
      </w:r>
      <w:r w:rsidR="00994E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4EFE" w:rsidRPr="0099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(ВВП - </w:t>
      </w:r>
      <w:r w:rsidR="00994EFE" w:rsidRPr="00994EFE">
        <w:rPr>
          <w:rFonts w:ascii="Times New Roman" w:hAnsi="Times New Roman" w:cs="Times New Roman"/>
          <w:sz w:val="28"/>
          <w:szCs w:val="28"/>
          <w:shd w:val="clear" w:color="auto" w:fill="FFFFFF"/>
        </w:rPr>
        <w:t>2,622 триллиона USD</w:t>
      </w:r>
      <w:r w:rsidR="00994EFE" w:rsidRPr="00994E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994E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(ці кошти передаються в Національний фонд позик і виплачуються з нього);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витрати по цивільному листу (утримання Королеви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її най</w:t>
      </w:r>
      <w:r w:rsidR="001255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ближчих родичів).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Друга частина бюджету Великої Британії — Національний фонд позик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 яким відбиваються витрати на капітальні вкладення.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Дохідна частина Національного фонду позик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створюється за рахунок відсотків, які надходять від державних корпорацій та місцевих органів влади за надані Казначейством довгострокові кредити, прибутки емісійного департаменту Банку Англії, коштів, наданих з Консолідованого фонду для постійного обслуговування.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Видатки Національного фонду позик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включають відсотки по державному боргу та керуванню ним, довгострокові кредити на капітальні вкладення державним корпораціям і місцевим органам влади.</w:t>
      </w:r>
    </w:p>
    <w:p w:rsidR="006244A0" w:rsidRPr="006244A0" w:rsidRDefault="006244A0" w:rsidP="006244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24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Третю ланку фінансової системи Великобританії складають місцеві фінанси.</w:t>
      </w:r>
    </w:p>
    <w:p w:rsidR="006244A0" w:rsidRPr="006244A0" w:rsidRDefault="006244A0" w:rsidP="006244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Основою місцевих фінансів є місцеві бюджети — бюджети графств і округів. За їх рахунок місцева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лада забезпечує комплексний роз</w:t>
      </w: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виток територій.</w:t>
      </w:r>
    </w:p>
    <w:p w:rsidR="00083FCD" w:rsidRDefault="006244A0" w:rsidP="006244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Місцева влада у Великобритані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має чотири основні джерела до</w:t>
      </w:r>
      <w:r w:rsidR="00083F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ходів:</w:t>
      </w: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83FCD" w:rsidRPr="00083FCD" w:rsidRDefault="006244A0" w:rsidP="00083FC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3F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субсидії центрального уряду (близько 11% вит</w:t>
      </w:r>
      <w:r w:rsidR="00083F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рат поточного бюджету держави);</w:t>
      </w:r>
    </w:p>
    <w:p w:rsidR="00083FCD" w:rsidRPr="00083FCD" w:rsidRDefault="00083FCD" w:rsidP="00083FC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податок на житло;</w:t>
      </w:r>
    </w:p>
    <w:p w:rsidR="00083FCD" w:rsidRPr="00083FCD" w:rsidRDefault="00083FCD" w:rsidP="00083FC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тарифи на рухоме майно;</w:t>
      </w:r>
    </w:p>
    <w:p w:rsidR="00083FCD" w:rsidRPr="00083FCD" w:rsidRDefault="006244A0" w:rsidP="00083FC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3F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також різні збори і доходи від продажу ліцензій та ін. </w:t>
      </w:r>
    </w:p>
    <w:p w:rsidR="00994EFE" w:rsidRPr="006244A0" w:rsidRDefault="006244A0" w:rsidP="006244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Близько 75% витрат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(крім зборів і продаж) фінансу</w:t>
      </w: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 за рахунок урядових субсидій і тарифів на рухоме майно.</w:t>
      </w:r>
    </w:p>
    <w:p w:rsidR="006244A0" w:rsidRPr="006244A0" w:rsidRDefault="006244A0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4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Останньою ланкою фінансової системи Великобританії є фінанси державних підприємств</w:t>
      </w: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державних корпорацій, змішаних і відомчих підприємств. Фінансові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відносини</w:t>
      </w:r>
      <w:r w:rsidRPr="00624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цієї ланки фінансової системи представлені в основному фінансовими взаємозв'язками з державним бюджетом, які проявляються, з одного боку, у сплаті податку на прибуток корпорацій і процентів за отримані у Казначействі кредити з капітального бюджету, а з другого — включають отримання ними коштів з бюджету на модернізацію виробництва та інші цілі.</w:t>
      </w:r>
    </w:p>
    <w:p w:rsidR="00960A19" w:rsidRPr="00960A19" w:rsidRDefault="00960A19" w:rsidP="00960A1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Великобританії 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2018-2019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рр.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витрати на рівні 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£828.6 млрд</w:t>
      </w:r>
      <w:r w:rsidR="00970E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фунт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в стерлинг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в. С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піввідношення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витрат 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Уряду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місцевих адміністрацій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администраций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залишається таким: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78%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22% </w:t>
      </w:r>
      <w:r w:rsidR="00883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44A0" w:rsidRPr="00960A19" w:rsidRDefault="00883D98" w:rsidP="00960A1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Ключові статті витрат в бюджеті 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Великобритан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2019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рр. такі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світа 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охорона здоров’я 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пенсійне забезпечення 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20%.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Соціальні потреби населення займають 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нанс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>в 14%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кладали 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14,9%,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r w:rsidR="00960A19" w:rsidRPr="00960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14,2%).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Бюджетний рік Великої Британії охоплює період з 1 квітня по 31 березня наступного року.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Бюджет є найважливішим із законів, які щорічно приймаються. За його основу береться Бюджетне послання Канцлера казначейства, з яким він виступає в жовтні-листопаді кожного року. У посланні викладається аналіз розвитку економіки за минулий рік і думка уряду щодо перспективи економічного, розвитку на середньострокову та довгострокову перспективи, а також проголошується валютна і фіскальна політика держави, розглядаються питання стану державних фінансів і з’являються зміни в податковій та інших фінансових сферах. Детальний 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розгляд державних видатків проводиться в спеціальних комітетах Палати громад (наприклад, Комітеті з рахунків державних установ) і в установах, яким делеговані відповідні повноваження.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Особливість бюджетного процесу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полягає в тому, що замість єдиного бюджетного закону Парламент щорічно приймає так званий «фінансовий закон», який фіксує зміни, внесені в систему бюджетних доходів, а також один чи кілька законів, які уповноважують уряд витратити протягом року з тією чи іншою метою певну кількість грошей. При цьому бюджет виноситься на розгляд по частинах і в різний час (спочатку по видатках, потім по доходах). Після схвалення Палатою громад бюджетний законопроект передається на схвалення Палати лордів, підписується головою королівської влади і стає законом. Звіт про виконання бюджету доводиться до відома Парламенту, але ним не затверджується.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5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Фінансово-бюджетна політика Великої Британії заснована на двох важливих економічних правилах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«золоте правило» — уряд робить позики тільки для того,щоб інвестувати їх у певні сектори економіки, а не витратити;</w:t>
      </w:r>
    </w:p>
    <w:p w:rsidR="003E06DD" w:rsidRPr="00F11777" w:rsidRDefault="003E06DD" w:rsidP="003E06D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«правило стабільного інвестування» — відношення суми внутрішнього державного боргу до ВВП протягом економічного циклу має утримуватися на стабільному та розумному рівні (нині воно дорівнює трохи більше 30 %).</w:t>
      </w:r>
    </w:p>
    <w:p w:rsidR="004F4842" w:rsidRDefault="004F484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F4842" w:rsidRPr="003E06DD" w:rsidRDefault="003E06DD" w:rsidP="003E06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6DD">
        <w:rPr>
          <w:rFonts w:ascii="Times New Roman" w:hAnsi="Times New Roman" w:cs="Times New Roman"/>
          <w:b/>
          <w:sz w:val="28"/>
          <w:szCs w:val="28"/>
          <w:lang w:val="uk-UA"/>
        </w:rPr>
        <w:t>Податкова система Великобританії та її особливості.</w:t>
      </w:r>
    </w:p>
    <w:p w:rsidR="00970E24" w:rsidRDefault="00970E24" w:rsidP="002433F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Головними джерелами державни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доходів є податки, а саме: </w:t>
      </w:r>
      <w:r w:rsidRPr="00970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податки на доход </w:t>
      </w: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(включаючи прибуток), в який входять подохідний податок з фізичних осіб, корпоративний податок і податок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товий дохід; </w:t>
      </w:r>
      <w:r w:rsidRPr="00970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податок на капітал</w:t>
      </w: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включає податок зі спадщини, податок на приріст капіталу, консульський збір та імпортні мита; </w:t>
      </w:r>
      <w:r w:rsidRPr="00970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непрямі податки</w:t>
      </w: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>: ПДВ, акцизи 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итні платежі; </w:t>
      </w:r>
      <w:r w:rsidRPr="00970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платежі по державному страхуванню</w:t>
      </w: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дають право на отримання допомог. </w:t>
      </w:r>
    </w:p>
    <w:p w:rsidR="00970E24" w:rsidRPr="00970E24" w:rsidRDefault="00970E24" w:rsidP="002433F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Основні принципи, що лежать в основі сучасної податкової політики уряду Великобританії, полягають у тому, що податкова система повинна: заохочувати зайнятість і служити стимулом до праці для кожного; сприяти накопиченню і довгостроковим інвестиціям; бути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равед</w:t>
      </w:r>
      <w:r w:rsidRPr="00970E24">
        <w:rPr>
          <w:rFonts w:ascii="Times New Roman" w:eastAsia="Times New Roman" w:hAnsi="Times New Roman" w:cs="Times New Roman"/>
          <w:color w:val="000000"/>
          <w:sz w:val="28"/>
          <w:szCs w:val="28"/>
        </w:rPr>
        <w:t>ливою.</w:t>
      </w:r>
    </w:p>
    <w:p w:rsidR="00970E24" w:rsidRDefault="00B73C07" w:rsidP="002433F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Великобританії можна виділити дві групи податків – державні та місцеві. До </w:t>
      </w:r>
      <w:r w:rsidRPr="00BC5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державних податків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відносять по доходний податок, корпоративний податок, податок на при</w:t>
      </w:r>
      <w:r w:rsidR="00C52C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ріст капіталу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оподаткування нафтової галузі, податок з</w:t>
      </w:r>
      <w:r w:rsidR="00C52C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спадщини, національні вклади страхування, мита, акцизи, ПДВ, гербові збори. До </w:t>
      </w:r>
      <w:r w:rsidR="00C52CF7" w:rsidRPr="00BC5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місцевих</w:t>
      </w:r>
      <w:r w:rsidR="00C52C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податок на майно та на </w:t>
      </w:r>
      <w:r w:rsidR="00944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утилізацію</w:t>
      </w:r>
      <w:r w:rsidR="00C52C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сміття.</w:t>
      </w:r>
    </w:p>
    <w:p w:rsidR="00F300AA" w:rsidRPr="002865C9" w:rsidRDefault="00F300AA" w:rsidP="00F30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Організація податкової служби Великобританії</w:t>
      </w:r>
    </w:p>
    <w:p w:rsidR="00F300AA" w:rsidRPr="002865C9" w:rsidRDefault="00F300AA" w:rsidP="00F300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5C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 податкової служби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окладена в основному на два уря</w:t>
      </w:r>
      <w:r w:rsidRPr="002865C9">
        <w:rPr>
          <w:rFonts w:ascii="Times New Roman" w:hAnsi="Times New Roman" w:cs="Times New Roman"/>
          <w:sz w:val="28"/>
          <w:szCs w:val="28"/>
          <w:shd w:val="clear" w:color="auto" w:fill="FFFFFF"/>
        </w:rPr>
        <w:t>дових департаменти: Управління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нутрішніх доходів (УВД) і Управ</w:t>
      </w:r>
      <w:r w:rsidRPr="002865C9">
        <w:rPr>
          <w:rFonts w:ascii="Times New Roman" w:hAnsi="Times New Roman" w:cs="Times New Roman"/>
          <w:sz w:val="28"/>
          <w:szCs w:val="28"/>
          <w:shd w:val="clear" w:color="auto" w:fill="FFFFFF"/>
        </w:rPr>
        <w:t>ління мита і акцизів. У функцію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УВД входить безпосередній конт</w:t>
      </w:r>
      <w:r w:rsidRPr="002865C9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за стягненням податків з юри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дичних і фізичних осіб. У компе</w:t>
      </w:r>
      <w:r w:rsidRPr="002865C9">
        <w:rPr>
          <w:rFonts w:ascii="Times New Roman" w:hAnsi="Times New Roman" w:cs="Times New Roman"/>
          <w:sz w:val="28"/>
          <w:szCs w:val="28"/>
          <w:shd w:val="clear" w:color="auto" w:fill="FFFFFF"/>
        </w:rPr>
        <w:t>тенції Управління мита і акцизів перебуває вся система непрямого оподаткування.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Оподаткування фізичних осіб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Особистий прибутковий податок сплачує все населення Велико-британії.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Існують підрозділи на: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резидентів;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нерезидентів.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Доходи резидента Великобрита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нії підлягають оподаткуванню не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 від джерела їх виникнення. Нерезидент сплачує податки у Великобританії лише з доходів, отриманих на території цієї країни.</w:t>
      </w:r>
    </w:p>
    <w:p w:rsidR="00663C05" w:rsidRDefault="00663C05" w:rsidP="00663C0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 зайняті або мають роботодавців особи сплачують податки в Великобританії по прогресивному типу - з прямого доходу / зарплати, з нерухомого та іншого майна (наприклад, здаючи його). Основні види отримання коштів, які підпадають під оподаткування:</w:t>
      </w:r>
    </w:p>
    <w:p w:rsidR="00663C05" w:rsidRPr="00663C05" w:rsidRDefault="00663C05" w:rsidP="00663C0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зарплата і всі кошти, одержувані від роботодавців;</w:t>
      </w:r>
    </w:p>
    <w:p w:rsidR="00663C05" w:rsidRPr="00663C05" w:rsidRDefault="00663C05" w:rsidP="00663C0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кошти від підприємницької діяльності;</w:t>
      </w:r>
    </w:p>
    <w:p w:rsidR="00663C05" w:rsidRPr="00663C05" w:rsidRDefault="00663C05" w:rsidP="00663C0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пенсії і допомога по безробіттю;</w:t>
      </w:r>
    </w:p>
    <w:p w:rsidR="00663C05" w:rsidRPr="00663C05" w:rsidRDefault="00663C05" w:rsidP="00663C0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відсотки від банківських вкладень;</w:t>
      </w:r>
    </w:p>
    <w:p w:rsidR="00663C05" w:rsidRPr="00663C05" w:rsidRDefault="00663C05" w:rsidP="00663C0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дивіденди і так далі.</w:t>
      </w:r>
    </w:p>
    <w:p w:rsidR="00663C05" w:rsidRDefault="00663C05" w:rsidP="00663C0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3C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треба сплачувати податки зі здачі в оренду кімнати у власному будинку (перші 4250 фунтів), від виграшу в національній лотереї, при непрацездатності і в деяких інших випадках.</w:t>
      </w:r>
    </w:p>
    <w:p w:rsidR="00500EC0" w:rsidRDefault="00BB20DC" w:rsidP="00BB20D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Особи, визнані резидентами, мають право скористатися person</w:t>
      </w:r>
      <w:r w:rsidR="00500E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al allowance - неоподатковуваною заробленою </w:t>
      </w: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сумою-мінімумом, з якого можна не платити прибутковий податок у Великобританії. Для тих, хто народився після 1948 року, і мають щорічний дохід до 100 тисяч фунтів стерлінгів, він дорівнює </w:t>
      </w:r>
      <w:r w:rsidR="008625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11,850</w:t>
      </w: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тис</w:t>
      </w:r>
      <w:r w:rsidR="008625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фунтів на рік, 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тих, хто </w:t>
      </w: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з'явилися на світ до цього року - трохи менше. </w:t>
      </w:r>
    </w:p>
    <w:p w:rsidR="00F52CCB" w:rsidRPr="00BB20DC" w:rsidRDefault="00BB20DC" w:rsidP="00BB20D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ви можете скористатися особистим мінімумом</w:t>
      </w:r>
      <w:r w:rsidR="00500E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(4195 фунтів стерлінгів)</w:t>
      </w:r>
      <w:r w:rsidRP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офіційно працевлаштовані в країні, його при розрахунках враховує роботодавець. В цілому ставки складають (у відсотках):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0 — при доходах до 10,6 т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фунт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20 — 10,6-42,385 т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40 — 42,385-150 т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2CCB" w:rsidRPr="00F52CCB" w:rsidRDefault="00F52CCB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 — 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більше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150 т</w:t>
      </w:r>
      <w:r w:rsidR="00BB20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500EC0" w:rsidRPr="00500EC0" w:rsidRDefault="00500EC0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Особи творчих професій (літератори, драматурги, музиканти, артисти) можуть отримати податкові льготи. </w:t>
      </w:r>
      <w:r w:rsidRPr="00F52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Особистий прибутковий податок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 стягують з пособій та стипендій.</w:t>
      </w:r>
    </w:p>
    <w:p w:rsidR="00500EC0" w:rsidRPr="00500EC0" w:rsidRDefault="00500EC0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00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Податок зі спадщини</w:t>
      </w:r>
    </w:p>
    <w:p w:rsidR="00500EC0" w:rsidRPr="00500EC0" w:rsidRDefault="00500EC0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E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Цей податок не сплачується з більшої частини видів дарунків, здійснюваних при житті власника, якщо він залишається після цього живим протягом останніх 7 років. </w:t>
      </w:r>
      <w:r w:rsidRPr="00500EC0">
        <w:rPr>
          <w:rFonts w:ascii="Times New Roman" w:eastAsia="Times New Roman" w:hAnsi="Times New Roman" w:cs="Times New Roman"/>
          <w:color w:val="000000"/>
          <w:sz w:val="28"/>
          <w:szCs w:val="28"/>
        </w:rPr>
        <w:t>У момент здійснення передачі майна в дарунок податок не стягується, але якщо протягом останніх семи років власник помирає, то 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дарування підлягає обкладен</w:t>
      </w:r>
      <w:r w:rsidRPr="00500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ню податком. Ставка податку </w:t>
      </w:r>
      <w:r w:rsidRPr="00500E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встановлена на рівні 40% з суми майна вартістю понад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325</w:t>
      </w:r>
      <w:r w:rsidRPr="00500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фунтів стерлінгів.</w:t>
      </w:r>
    </w:p>
    <w:p w:rsidR="00561C75" w:rsidRPr="00561C75" w:rsidRDefault="00561C75" w:rsidP="00561C7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Податок на додану вартість</w:t>
      </w:r>
    </w:p>
    <w:p w:rsidR="00561C75" w:rsidRPr="002F05E2" w:rsidRDefault="00561C75" w:rsidP="00561C7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вид податку введений з 1 квітня 1973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2F05E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 ставка - 20%, знижені - 5% (побутова електроенергія, дитячі коляски, допоміжні засоби для пересування інвалідів) і 0% (книги, дитячий одяг, продукти харчування).</w:t>
      </w:r>
    </w:p>
    <w:p w:rsidR="00561C75" w:rsidRPr="00561C75" w:rsidRDefault="00561C75" w:rsidP="00561C7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Гербовий збір</w:t>
      </w:r>
    </w:p>
    <w:p w:rsidR="00500EC0" w:rsidRPr="00780BEE" w:rsidRDefault="00561C75" w:rsidP="00561C7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1C75">
        <w:rPr>
          <w:rFonts w:ascii="Times New Roman" w:eastAsia="Times New Roman" w:hAnsi="Times New Roman" w:cs="Times New Roman"/>
          <w:color w:val="000000"/>
          <w:sz w:val="28"/>
          <w:szCs w:val="28"/>
        </w:rPr>
        <w:t>Цей податок стягується при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формленні особами документо-пра</w:t>
      </w:r>
      <w:r w:rsidRPr="00561C75">
        <w:rPr>
          <w:rFonts w:ascii="Times New Roman" w:eastAsia="Times New Roman" w:hAnsi="Times New Roman" w:cs="Times New Roman"/>
          <w:color w:val="000000"/>
          <w:sz w:val="28"/>
          <w:szCs w:val="28"/>
        </w:rPr>
        <w:t>вових угод. Комерційні і юридич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документи повинні мати спеці</w:t>
      </w:r>
      <w:r w:rsidRPr="00561C7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альний штамп, що підтверджує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 цього податку. В деяких ви</w:t>
      </w:r>
      <w:r w:rsidRPr="00561C75">
        <w:rPr>
          <w:rFonts w:ascii="Times New Roman" w:eastAsia="Times New Roman" w:hAnsi="Times New Roman" w:cs="Times New Roman"/>
          <w:color w:val="000000"/>
          <w:sz w:val="28"/>
          <w:szCs w:val="28"/>
        </w:rPr>
        <w:t>падках ставки гербових зборів встановлюються в твердих сумах (від 25 пенсів до 1-2 фунтів стерлінгів), в інших гербовий збір стягується в певному відсотку до вартості угоди.</w:t>
      </w:r>
      <w:r w:rsidR="00780B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Наприклад, фіксація операцій з цінними паперами обійдеться учасникам угоди у 0,5% від їх вартості. Передача майна іншому власнику, вартістю вище 60 тис. фунтів, обійдеться у 1%, вище 250 тис. фунтів </w:t>
      </w:r>
      <w:r w:rsidR="00914A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780B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3%, від 500 тис. фунтів – 4%. </w:t>
      </w:r>
    </w:p>
    <w:p w:rsidR="00500EC0" w:rsidRPr="00944CCF" w:rsidRDefault="00944CCF" w:rsidP="00F52C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44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Корпоративний податок </w:t>
      </w:r>
    </w:p>
    <w:p w:rsidR="00944CCF" w:rsidRPr="00944CCF" w:rsidRDefault="00944CC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CCF">
        <w:rPr>
          <w:rFonts w:ascii="Times New Roman" w:eastAsia="Times New Roman" w:hAnsi="Times New Roman" w:cs="Times New Roman"/>
          <w:sz w:val="28"/>
          <w:szCs w:val="28"/>
          <w:lang w:val="uk-UA"/>
        </w:rPr>
        <w:t>Для компаній, чий сукупний дохід не перевищує 1,5 міль</w:t>
      </w:r>
      <w:r w:rsidR="008625A6">
        <w:rPr>
          <w:rFonts w:ascii="Times New Roman" w:eastAsia="Times New Roman" w:hAnsi="Times New Roman" w:cs="Times New Roman"/>
          <w:sz w:val="28"/>
          <w:szCs w:val="28"/>
          <w:lang w:val="uk-UA"/>
        </w:rPr>
        <w:t>йона фунтів, існує єдиний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19 %</w:t>
      </w:r>
      <w:r w:rsidRPr="00944C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податок на прибуток у Великобританії, а якщо він вищий -30%. Виняток - підприємства, пов'язані з добуванням нафти: для них встановлено додатковий корпоративний збір 20%. Зменшити базу можна за рахунок:</w:t>
      </w:r>
    </w:p>
    <w:p w:rsidR="00944CCF" w:rsidRPr="00944CCF" w:rsidRDefault="00944CC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CCF">
        <w:rPr>
          <w:rFonts w:ascii="Times New Roman" w:eastAsia="Times New Roman" w:hAnsi="Times New Roman" w:cs="Times New Roman"/>
          <w:sz w:val="28"/>
          <w:szCs w:val="28"/>
          <w:lang w:val="uk-UA"/>
        </w:rPr>
        <w:t>• відрахування виробничих витрат - на поточні ремонти, оплату професійних послуг;</w:t>
      </w:r>
    </w:p>
    <w:p w:rsidR="00944CCF" w:rsidRPr="00944CCF" w:rsidRDefault="00944CC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CCF">
        <w:rPr>
          <w:rFonts w:ascii="Times New Roman" w:eastAsia="Times New Roman" w:hAnsi="Times New Roman" w:cs="Times New Roman"/>
          <w:sz w:val="28"/>
          <w:szCs w:val="28"/>
          <w:lang w:val="uk-UA"/>
        </w:rPr>
        <w:t>• використання позикових коштів;</w:t>
      </w:r>
    </w:p>
    <w:p w:rsidR="00944CCF" w:rsidRPr="00944CCF" w:rsidRDefault="00944CC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CCF">
        <w:rPr>
          <w:rFonts w:ascii="Times New Roman" w:eastAsia="Times New Roman" w:hAnsi="Times New Roman" w:cs="Times New Roman"/>
          <w:sz w:val="28"/>
          <w:szCs w:val="28"/>
          <w:lang w:val="uk-UA"/>
        </w:rPr>
        <w:t>• знижки відповідно до індексу роздрібних цін і так далі.</w:t>
      </w:r>
    </w:p>
    <w:p w:rsidR="00914A1F" w:rsidRDefault="00944CC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C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Податок на прибуток</w:t>
      </w:r>
      <w:r w:rsidRPr="0094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Великобританії доповнений внеском за оплат</w:t>
      </w:r>
      <w:r w:rsidR="00914A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94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передачі нерухомих або фінансових активів. Його обчислюють за маржинальним ставками і враховують збитки. Істотна витратна стаття - гербовий збір, його платять фірми і приватні особи. Його вносять при </w:t>
      </w:r>
      <w:r w:rsidRPr="00944C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придбанні нерухомості (3-15%, в залежності від типу і вартості), акцій та інших ЦП - в цьому випадку він складе 0,5%. </w:t>
      </w:r>
    </w:p>
    <w:p w:rsidR="00914A1F" w:rsidRPr="00914A1F" w:rsidRDefault="00914A1F" w:rsidP="00914A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4A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Спеціальний податковий режим встановлений для компаній, які добувають нафту в Північному 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рі. Ці компанії сплачують </w:t>
      </w:r>
      <w:r w:rsidRPr="00914A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нафтовий корпоративний податок</w:t>
      </w:r>
      <w:r w:rsidRPr="00914A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ставкою 75%. Вони не звільняються від сплати загального корпоративного податку.</w:t>
      </w:r>
    </w:p>
    <w:p w:rsidR="00914A1F" w:rsidRPr="00914A1F" w:rsidRDefault="00914A1F" w:rsidP="00914A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4A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Компанії Великобританії обкл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адаються також податками на при</w:t>
      </w:r>
      <w:r w:rsidRPr="00914A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ріст капіталу. Нерезидентські компанії цей податок не сплачують.</w:t>
      </w:r>
    </w:p>
    <w:p w:rsidR="00914A1F" w:rsidRDefault="00944CC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4A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Акцизи</w:t>
      </w:r>
      <w:r w:rsidRPr="0094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4A1F" w:rsidRPr="00914A1F" w:rsidRDefault="00914A1F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Сплачують</w:t>
      </w:r>
      <w:r w:rsidR="00944CCF" w:rsidRPr="0094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бензин, тютюн, алкогольну продукцію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 залежності від градусу міцності)</w:t>
      </w:r>
      <w:r w:rsidR="00944CCF" w:rsidRPr="00944CCF">
        <w:rPr>
          <w:rFonts w:ascii="Times New Roman" w:hAnsi="Times New Roman" w:cs="Times New Roman"/>
          <w:sz w:val="28"/>
          <w:szCs w:val="28"/>
          <w:shd w:val="clear" w:color="auto" w:fill="FFFFFF"/>
        </w:rPr>
        <w:t>, азартні ігри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транспортні засоби.</w:t>
      </w:r>
      <w:r w:rsidR="006713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Наприклад, власник авто сплачує 150 фунтів стерлінгів. До акцизів відноситься податок на страхування. Для застрахованого майна застосовується ставка 4%. Для застрахованих туристів – 17,5%.</w:t>
      </w:r>
    </w:p>
    <w:p w:rsidR="006713A8" w:rsidRPr="006713A8" w:rsidRDefault="006713A8" w:rsidP="00671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1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Місцеві податки</w:t>
      </w:r>
    </w:p>
    <w:p w:rsidR="007D540B" w:rsidRPr="00B245E2" w:rsidRDefault="00B245E2" w:rsidP="00B245E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45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B24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латити </w:t>
      </w:r>
      <w:r w:rsidRPr="00B245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муніципальний податок</w:t>
      </w:r>
      <w:r w:rsidRPr="00B24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(council tax)</w:t>
      </w:r>
      <w:r w:rsidRPr="00B245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треба</w:t>
      </w:r>
      <w:r w:rsidRPr="00B245E2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незалежно від того, орендуєте ви нерухомість або є її власником. Цей податок був введений в 1993 році і діє в Англії, Шотландії та Уельсі, на відміну від Північної Ірландії. Частка council tax в місцевому бюджеті становить приблизно 25%. За рахунок цього податку фінансуються поліція, пожежна служба, школи, охорона здоров'я, вивезення сміття, ремонт та освітлення доріг та інші потреби району.</w:t>
      </w:r>
    </w:p>
    <w:p w:rsidR="00B245E2" w:rsidRPr="00B245E2" w:rsidRDefault="00B245E2" w:rsidP="00B245E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5E2">
        <w:rPr>
          <w:rFonts w:ascii="Times New Roman" w:eastAsia="Times New Roman" w:hAnsi="Times New Roman" w:cs="Times New Roman"/>
          <w:bCs/>
          <w:sz w:val="28"/>
          <w:szCs w:val="28"/>
        </w:rPr>
        <w:t>Ставка податку встановлюється на рік і може переглядатися щорічно. Рахунок на оплату приходить в березні або на початку квітня, платити можна відразу за рік або протягом 10 місяців рівними частинами.</w:t>
      </w:r>
    </w:p>
    <w:p w:rsidR="00B245E2" w:rsidRPr="00B245E2" w:rsidRDefault="00B245E2" w:rsidP="00B245E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5E2">
        <w:rPr>
          <w:rFonts w:ascii="Times New Roman" w:eastAsia="Times New Roman" w:hAnsi="Times New Roman" w:cs="Times New Roman"/>
          <w:bCs/>
          <w:sz w:val="28"/>
          <w:szCs w:val="28"/>
        </w:rPr>
        <w:t>Розмір податку залежить від групи, в якій знаходиться жилплощ</w:t>
      </w:r>
      <w:r w:rsidRPr="00B245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Pr="00B245E2">
        <w:rPr>
          <w:rFonts w:ascii="Times New Roman" w:eastAsia="Times New Roman" w:hAnsi="Times New Roman" w:cs="Times New Roman"/>
          <w:bCs/>
          <w:sz w:val="28"/>
          <w:szCs w:val="28"/>
        </w:rPr>
        <w:t>. В Англії, за станом на 1 квітня 1991 була проведена оцінка всієї житлової нерухомості в країні і, в залежності від вартості житла, було створено 8 груп, названих буквами від A до Н.</w:t>
      </w:r>
    </w:p>
    <w:p w:rsidR="007D540B" w:rsidRDefault="00B245E2" w:rsidP="00B245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45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Органам місцевої влади буде дозволено стягувати штраф в розмірі 100% від розміру муніципального податку з порожнього більше двох років житла. Таким чином, власник нерухомості отримає свій Council Tax bill в подвійному розмірі. Колишня норма дорівнювала 50%. Вказана зміна стосується в першу чергу нерезидентів, які купують об'єкти в інвестиційних цілях.</w:t>
      </w:r>
    </w:p>
    <w:p w:rsidR="00836B91" w:rsidRPr="000C7A29" w:rsidRDefault="000C7A29" w:rsidP="00B245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C7A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Податок на утилізацію мусора.</w:t>
      </w:r>
    </w:p>
    <w:p w:rsidR="000C7A29" w:rsidRPr="000C7A29" w:rsidRDefault="000C7A29" w:rsidP="000C7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29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Податок застосовується щодо підприємств, які займаються закапуванням сміття. Ця діяльність підлягає ліцензуванню, після чого відбувається процедура реєстрації в Управлінні мит</w:t>
      </w:r>
      <w:r w:rsidR="00015B72" w:rsidRPr="00015B7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C7A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акцизів. Для сплати податку необхідно зважити відходи, так як розмір податку безпосередньо пов'язаний з вагою брухту. Існує спеціальна форма для ведення обліку проведених платежів, підтвердження яких слід зберігати 5 років.</w:t>
      </w:r>
    </w:p>
    <w:p w:rsidR="006713A8" w:rsidRDefault="000C7A29" w:rsidP="000C7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15B72">
        <w:rPr>
          <w:rFonts w:ascii="Times New Roman" w:hAnsi="Times New Roman" w:cs="Times New Roman"/>
          <w:sz w:val="28"/>
          <w:szCs w:val="28"/>
          <w:shd w:val="clear" w:color="auto" w:fill="FFFFFF"/>
        </w:rPr>
        <w:t>Діють дві ставки - 1,2 фунта стерлінгів за тонну сміття, призначеного для відродження площ для закапування відходів і наповнення кар'єрів, і 2,15 фунтів стерлінгів для інших видів сміття. Внески сплачуються кожні 3 місяці. Під дію податку не потрапляють: сміття з водойм, відходи, пов'язані з витяганням гірської руди, утиль з історично засміченого земельної ділянки, на як</w:t>
      </w:r>
      <w:r w:rsidR="00015B72" w:rsidRPr="00015B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Pr="0001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ведуться відновлювальні роботи.</w:t>
      </w:r>
    </w:p>
    <w:p w:rsidR="00836B91" w:rsidRDefault="00836B91" w:rsidP="00015B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15B72" w:rsidRPr="00015B72" w:rsidRDefault="00015B72" w:rsidP="00015B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B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</w:t>
      </w:r>
      <w:r w:rsidRPr="00015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Фінансова система Франції.</w:t>
      </w:r>
    </w:p>
    <w:p w:rsidR="00366BCE" w:rsidRPr="00F11777" w:rsidRDefault="00366BCE" w:rsidP="00366B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Державний устрій Франції</w:t>
      </w:r>
      <w:r w:rsidR="001545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(Французька республіка – офіційна назва)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республіка, головною поса</w:t>
      </w:r>
      <w:r w:rsidR="001545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довою особою якої є президент. Й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позиції одні з найбільш сильних у світі серед країн, що мають інститут президентства.</w:t>
      </w:r>
    </w:p>
    <w:p w:rsidR="00366BCE" w:rsidRPr="00F11777" w:rsidRDefault="00366BCE" w:rsidP="00366B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Країна розділена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регіони,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101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департаментів і близько 36 тис. комун. До складу Франції входять 5 заморських департаментів, 4 заморські території і територія з особливим статусом -Майот.</w:t>
      </w:r>
    </w:p>
    <w:p w:rsidR="00366BCE" w:rsidRDefault="00366BCE" w:rsidP="00366B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Законодавча влада представлена двома палатами парламенту — Національними зборами (нижня палата) і Сенатом. Депутати Національних зборів обираються прямим голосуванням, а Сенат — непрямим 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голосуванням. У Сенаті представлені територіальні колективи республіки, а також французів, що проживають за межами основної територіальної частини Франції.</w:t>
      </w:r>
    </w:p>
    <w:p w:rsidR="00D438EB" w:rsidRDefault="00D438EB" w:rsidP="00D438E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Франції </w:t>
      </w:r>
      <w:r w:rsidRPr="00D438EB">
        <w:rPr>
          <w:rFonts w:ascii="Times New Roman" w:hAnsi="Times New Roman" w:cs="Times New Roman"/>
          <w:sz w:val="28"/>
          <w:szCs w:val="28"/>
        </w:rPr>
        <w:t>послуги є основним сектором економіки країни, на який припадає понад 78% ВВП. В обробній промисловості Франція є одним зі світових лідерів у сфері автомобільної, аерокосмічної, харчової промисловості, а також у виробництві косметики, предметів розкоші т</w:t>
      </w:r>
      <w:r>
        <w:rPr>
          <w:rFonts w:ascii="Times New Roman" w:hAnsi="Times New Roman" w:cs="Times New Roman"/>
          <w:sz w:val="28"/>
          <w:szCs w:val="28"/>
        </w:rPr>
        <w:t>а залізничного транспорту</w:t>
      </w:r>
      <w:r w:rsidRPr="00D438EB">
        <w:rPr>
          <w:rFonts w:ascii="Times New Roman" w:hAnsi="Times New Roman" w:cs="Times New Roman"/>
          <w:sz w:val="28"/>
          <w:szCs w:val="28"/>
        </w:rPr>
        <w:t>. Крім того, Франція має висококваліфіковану робочу силу і максимальне число випускників вищих навчальних закладів на тисячу робітників у Європі.</w:t>
      </w:r>
    </w:p>
    <w:p w:rsidR="00D438EB" w:rsidRPr="00D438EB" w:rsidRDefault="00D438EB" w:rsidP="00D438E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438EB">
        <w:rPr>
          <w:rFonts w:ascii="Times New Roman" w:hAnsi="Times New Roman" w:cs="Times New Roman"/>
          <w:sz w:val="28"/>
          <w:szCs w:val="28"/>
        </w:rPr>
        <w:t>Франція є найбільшою сільськогосподарською державою в Європейському Союзі. На неї припадає 16,3% сільськогосподарських земель. Обсяг сільськогосподарського виробництва склав у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438EB">
        <w:rPr>
          <w:rFonts w:ascii="Times New Roman" w:hAnsi="Times New Roman" w:cs="Times New Roman"/>
          <w:sz w:val="28"/>
          <w:szCs w:val="28"/>
        </w:rPr>
        <w:t xml:space="preserve"> р. 75 млрд євро, що становило 18,3% сукупного виробництва країн ЄС</w:t>
      </w:r>
      <w:r w:rsidRPr="00D438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8EB">
        <w:rPr>
          <w:rFonts w:ascii="Times New Roman" w:hAnsi="Times New Roman" w:cs="Times New Roman"/>
          <w:sz w:val="28"/>
          <w:szCs w:val="28"/>
          <w:lang w:val="uk-UA"/>
        </w:rPr>
        <w:t>Завдяки своєму клімату, ґрунтам і заморським територіям, Франція є єдиною європейською країною, здатною виробляти майже всі сільськогосподарські товари.</w:t>
      </w:r>
    </w:p>
    <w:p w:rsidR="006713A8" w:rsidRDefault="00BB03FE" w:rsidP="006713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0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Бюджетна система Франції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багатоланкова, але відрізняється високим ступенем централізації.</w:t>
      </w:r>
      <w:r w:rsidR="005A4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країні немає єдності бюджетної системи, бюджет кожної адміністративної одиниці затверджується органом виконавчої влади. Складна бюджетна система Франції включає:</w:t>
      </w:r>
    </w:p>
    <w:p w:rsidR="005A4958" w:rsidRPr="005A4958" w:rsidRDefault="005A4958" w:rsidP="005A49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державний</w:t>
      </w:r>
      <w:r w:rsidRPr="005A4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(центральний) бюджет;</w:t>
      </w:r>
    </w:p>
    <w:p w:rsidR="005A4958" w:rsidRPr="005A4958" w:rsidRDefault="005A4958" w:rsidP="005A49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Pr="005A4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бюджети;</w:t>
      </w:r>
    </w:p>
    <w:p w:rsidR="005A4958" w:rsidRPr="005A4958" w:rsidRDefault="005A4958" w:rsidP="005A49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спеціальні</w:t>
      </w:r>
      <w:r w:rsidRPr="005A4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фонди;</w:t>
      </w:r>
    </w:p>
    <w:p w:rsidR="005A4958" w:rsidRPr="005A4958" w:rsidRDefault="005A4958" w:rsidP="005A49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бюджети</w:t>
      </w:r>
      <w:r w:rsidRPr="005A49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державних підприємств.</w:t>
      </w:r>
    </w:p>
    <w:p w:rsidR="00901805" w:rsidRPr="00901805" w:rsidRDefault="00920DBD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Державний бюджет у Франції  - найважливіший інструмент управління державними коштами. </w:t>
      </w:r>
      <w:r w:rsid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Держава через бюджетну систему формує і розподіляє більше 20% ВВП і 50% національного доходу. На частку державного бюджету доводиться приблизно 80% всіх доходів і видатків французької фінансової системи. </w:t>
      </w:r>
    </w:p>
    <w:p w:rsidR="00901805" w:rsidRPr="00901805" w:rsidRDefault="00901805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Державний бюджет Франції є основою фінансової системи. На його частку припадає половина всіх фінансових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ресурсів держави. В цілому дер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жавний бюджет не затверджується законодавчою вл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адою, а щорічно скла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дається як допоміжний документ, який м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еханічно об'єднує загальний бюд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жет, багаточисельні спеціальні рахунки казначейства і приєднані бюджети.</w:t>
      </w:r>
    </w:p>
    <w:p w:rsidR="00901805" w:rsidRPr="00901805" w:rsidRDefault="00901805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5A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Доходи і витрати державного бюджету діляться на дві частини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901805" w:rsidRPr="00901805" w:rsidRDefault="00901805" w:rsidP="001545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операції кінцевого характеру (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безповоротне фінансування), тоб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 звичайні поточні витрати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(90% ) поділяються на такі видатки – поточні, цивільні, капітальні, військові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01805" w:rsidRPr="00901805" w:rsidRDefault="00901805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операції тимчасового характеру (кредитні операції)</w:t>
      </w:r>
      <w:r w:rsidR="00305A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складають 10%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05A26" w:rsidRDefault="00305A26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5A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Видатки центрального бюджету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поділяються на дві частини:</w:t>
      </w:r>
    </w:p>
    <w:p w:rsidR="00305A26" w:rsidRDefault="00305A26" w:rsidP="00305A2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поточні, які в свою чергу поділяються на військові (утримання військовослужбовців, їх навчання, матеріально-технічне забезпечення), соціальні;</w:t>
      </w:r>
    </w:p>
    <w:p w:rsidR="00305A26" w:rsidRPr="00305A26" w:rsidRDefault="00305A26" w:rsidP="00305A2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капітальні, які включають в себе військові (будівництво військових об’єктів, закупівля військової техніки), видатки на іноземні справи (створення посольств, консульств за кордоном, внески до міжнародних фінансово-кредитних установ).</w:t>
      </w:r>
    </w:p>
    <w:p w:rsidR="00305A26" w:rsidRDefault="00D15653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Структура основних статей видатків державного бюджету Франції така: освіта – 30%, оборона – 20%, соціальні міністерства</w:t>
      </w:r>
      <w:r w:rsidR="00D438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17%, транспорт і житло – 10%, фінансові служби – 4%, наукові дослідження – 3%, сільське господарство і рибалство – 3%, правосуддя – 2%, іноземні справи і співробітництво – 1,7%, промисловість – 1,4%, культура і зв’язок – 1,3%, інші міністерства – 1,4%.</w:t>
      </w:r>
    </w:p>
    <w:p w:rsidR="00D438EB" w:rsidRDefault="00D438EB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15653" w:rsidRDefault="00D15653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15653" w:rsidRDefault="00D15653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713A8" w:rsidRDefault="00901805" w:rsidP="009018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Доходи державного бюджету Ф</w:t>
      </w:r>
      <w:r w:rsidR="001545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ранції формуються за рахунок по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датків</w:t>
      </w:r>
      <w:r w:rsidR="002B74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(90%)</w:t>
      </w:r>
      <w:r w:rsidRPr="0090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коштів державних підприємств, позик та інших надходжень. </w:t>
      </w:r>
    </w:p>
    <w:p w:rsidR="003340DA" w:rsidRDefault="003340DA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60F5C">
        <w:rPr>
          <w:rFonts w:ascii="Times New Roman" w:hAnsi="Times New Roman" w:cs="Times New Roman"/>
          <w:b/>
          <w:sz w:val="28"/>
          <w:szCs w:val="28"/>
          <w:lang w:val="uk-UA"/>
        </w:rPr>
        <w:t>У Франції фінансовий рік збігається з календарним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0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тобто триває з 1 січні по 31 грудня.</w:t>
      </w:r>
    </w:p>
    <w:p w:rsidR="002B74E4" w:rsidRPr="00F11777" w:rsidRDefault="002B74E4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7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Бюджетний процес у Франції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має 4 стадії і триває більше трьох років.</w:t>
      </w:r>
    </w:p>
    <w:p w:rsidR="002B74E4" w:rsidRPr="00F11777" w:rsidRDefault="002B74E4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74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Перша стадія — складання проекту бюджету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здійснюється під контролем Міністерства економіки, фінансів та бюджету. Протягом 9 місяців кожне міністерство та відомство, керуючись інструкціями і контрольними цифрами, складає свій кошторис. Франція використовує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амно-цільовий метод розробки бю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джету, що одержав назву «рац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іоналізація вибору бюджетних рі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шень». Проект бюджету після схвалення урядом направляється в парламент.</w:t>
      </w:r>
    </w:p>
    <w:p w:rsidR="002B74E4" w:rsidRPr="00F11777" w:rsidRDefault="002B74E4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74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Друга стадія — розгляд і затвердження бюджету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триває приблизно 3 місяці. Проект бюджету розглядається у фінансовій комісії кожної палати Парламенту. Спочатку обговорюється в нижній палаті (Національні збори), потім передається у верхню палату (Сенат). Якщо проект бюджету після двох спіль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обго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ворень обома Палатами не 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ржав схвалення, то президент мо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 своїм указом оголосити бюджет законом.</w:t>
      </w:r>
    </w:p>
    <w:p w:rsidR="002B74E4" w:rsidRPr="00F11777" w:rsidRDefault="002B74E4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74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Третя стадія — виконання бюджету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починається з новим фінансовим роком, який у Франції за термінами збігається з календарним. Дохідна частина виконується через розгалужену мережу фінансових агентів. Виконанню видаткової частини бюджету передує процедура розподілу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коштів. Касове виконання здійс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нюється через систему казначейських кас. Вони мають поточні рахунки в Банку Франції і здійснюють розрахунково-касові бюджетні операції.</w:t>
      </w:r>
    </w:p>
    <w:p w:rsidR="002B74E4" w:rsidRDefault="002B74E4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B74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Четверта стадія — складання Міністерством економіки, фінансів та бюджету звіту про виконання бюджету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починається після закінчення бюджетного року.</w:t>
      </w:r>
    </w:p>
    <w:p w:rsidR="002B74E4" w:rsidRPr="00F11777" w:rsidRDefault="002B74E4" w:rsidP="002B74E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 ході бюджетного процесу здійснюється фінансовий контроль. Спеціальним органом державного контролю є Рахункова палата, на яку покладені функції попереднього, поточного і наступного контролю.</w:t>
      </w:r>
    </w:p>
    <w:p w:rsidR="00360F5C" w:rsidRDefault="00360F5C" w:rsidP="003340DA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F5C">
        <w:rPr>
          <w:rFonts w:ascii="Times New Roman" w:hAnsi="Times New Roman" w:cs="Times New Roman"/>
          <w:sz w:val="28"/>
          <w:szCs w:val="28"/>
          <w:lang w:val="uk-UA"/>
        </w:rPr>
        <w:t xml:space="preserve">Бюджетна система Франції заснована на </w:t>
      </w:r>
      <w:r w:rsidRPr="00360F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чотирьох принципах, </w:t>
      </w:r>
      <w:r w:rsidRPr="00360F5C">
        <w:rPr>
          <w:rFonts w:ascii="Times New Roman" w:hAnsi="Times New Roman" w:cs="Times New Roman"/>
          <w:sz w:val="28"/>
          <w:szCs w:val="28"/>
          <w:lang w:val="uk-UA"/>
        </w:rPr>
        <w:t xml:space="preserve">які прийнято вважати класичними: складання бюджету на рік; єдність; універсальність; спеціалізація. </w:t>
      </w:r>
    </w:p>
    <w:p w:rsidR="00360F5C" w:rsidRPr="007E17FA" w:rsidRDefault="00360F5C" w:rsidP="00360F5C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F5C">
        <w:rPr>
          <w:rFonts w:ascii="Times New Roman" w:hAnsi="Times New Roman" w:cs="Times New Roman"/>
          <w:b/>
          <w:sz w:val="28"/>
          <w:szCs w:val="28"/>
          <w:lang w:val="uk-UA"/>
        </w:rPr>
        <w:t>Місцеві бюджети.</w:t>
      </w:r>
    </w:p>
    <w:p w:rsidR="006B71F3" w:rsidRDefault="00BB0A5E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Франції на сьогодні склалась система адміністративно-територіального розподілу із трьох ланок – регіон-департамент-комуна з відповідною системою орга</w:t>
      </w:r>
      <w:r w:rsidR="001512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нів місцевого самоуправління і самоврядування. Ради (регіонів, департаментів, округів) складають бюджети і розпоряджаються місцевими ресурсами. Тобто, кожна адміністративна одиниця має власний бюджет.</w:t>
      </w:r>
    </w:p>
    <w:p w:rsidR="006713A8" w:rsidRDefault="00151298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71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 кожному регіоні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створюється контрольний орган – Розрахункова палата, </w:t>
      </w:r>
      <w:r w:rsidR="00E60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стежить за фінансовою діяльністю юридичних осіб і бере участь у формуванні місцевих бюджетів.</w:t>
      </w:r>
    </w:p>
    <w:p w:rsidR="006B71F3" w:rsidRDefault="006B71F3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71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Бюджетна політика департаменту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компетенцією Генеральної ради, а в окремих випадках – комісара Республіки і Регіональної розрахункової палати. Безпосереднє бюджетне управління здійснює скарбник департаменту, який призначається міністром економіки і фінансів.</w:t>
      </w:r>
    </w:p>
    <w:p w:rsidR="006B71F3" w:rsidRDefault="006B71F3" w:rsidP="00944C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71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Витрати місцевих бюджетів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складаються з двох основних частин:</w:t>
      </w:r>
    </w:p>
    <w:p w:rsidR="006B71F3" w:rsidRDefault="006B71F3" w:rsidP="006B71F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Поточний (функціональний) бюджет:</w:t>
      </w:r>
    </w:p>
    <w:p w:rsidR="006B71F3" w:rsidRDefault="006B71F3" w:rsidP="003340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витрати місцевих органів влади на поліцію, цивільну оборону, пожежну охорону, управління (приблизно 1/3 обсягу коштів);</w:t>
      </w:r>
    </w:p>
    <w:p w:rsidR="006B71F3" w:rsidRDefault="006B71F3" w:rsidP="003340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витрати на освіту і культуру (приблизно 1/3 обсягу коштів);</w:t>
      </w:r>
    </w:p>
    <w:p w:rsidR="006B71F3" w:rsidRDefault="006B71F3" w:rsidP="003340D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витрати на економічну інфраструктуру (приблизно 1/3 обсягу коштів).</w:t>
      </w:r>
    </w:p>
    <w:p w:rsidR="006B71F3" w:rsidRPr="006B71F3" w:rsidRDefault="006B71F3" w:rsidP="00820CA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Інвестиційний бюджет </w:t>
      </w:r>
      <w:r w:rsidR="005B2B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5B2BB8" w:rsidRPr="00151298">
        <w:rPr>
          <w:rFonts w:ascii="Times New Roman" w:hAnsi="Times New Roman" w:cs="Times New Roman"/>
          <w:sz w:val="28"/>
          <w:szCs w:val="28"/>
          <w:lang w:val="uk-UA"/>
        </w:rPr>
        <w:t>бюджет нового будівництва</w:t>
      </w:r>
      <w:r w:rsidR="005B2BB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0CAC">
        <w:rPr>
          <w:rFonts w:ascii="Times New Roman" w:hAnsi="Times New Roman" w:cs="Times New Roman"/>
          <w:sz w:val="28"/>
          <w:szCs w:val="28"/>
          <w:lang w:val="uk-UA"/>
        </w:rPr>
        <w:t xml:space="preserve"> – на місцеві бюджети припадає понад 52% всіх капітальних державних витрат).</w:t>
      </w:r>
    </w:p>
    <w:p w:rsidR="006B71F3" w:rsidRDefault="00421E88" w:rsidP="00151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Загальні витрати місцевих адміністративних органів перевищують 10% ВВП, загальна величина місцевих бюджетів сягає 60% державного бюджету Франції.</w:t>
      </w:r>
    </w:p>
    <w:p w:rsidR="00421E88" w:rsidRDefault="00421E88" w:rsidP="00151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E88">
        <w:rPr>
          <w:rFonts w:ascii="Times New Roman" w:hAnsi="Times New Roman" w:cs="Times New Roman"/>
          <w:i/>
          <w:sz w:val="28"/>
          <w:szCs w:val="28"/>
          <w:lang w:val="uk-UA"/>
        </w:rPr>
        <w:t>Джерела доходів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поділяються на:</w:t>
      </w:r>
    </w:p>
    <w:p w:rsidR="00421E88" w:rsidRPr="001077A9" w:rsidRDefault="00421E88" w:rsidP="00107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7A9">
        <w:rPr>
          <w:rFonts w:ascii="Times New Roman" w:hAnsi="Times New Roman" w:cs="Times New Roman"/>
          <w:sz w:val="28"/>
          <w:szCs w:val="28"/>
          <w:lang w:val="uk-UA"/>
        </w:rPr>
        <w:t>внутрішні – від муніципальної власності і місцевого господарства;</w:t>
      </w:r>
    </w:p>
    <w:p w:rsidR="00421E88" w:rsidRPr="001077A9" w:rsidRDefault="00421E88" w:rsidP="00107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7A9">
        <w:rPr>
          <w:rFonts w:ascii="Times New Roman" w:hAnsi="Times New Roman" w:cs="Times New Roman"/>
          <w:sz w:val="28"/>
          <w:szCs w:val="28"/>
          <w:lang w:val="uk-UA"/>
        </w:rPr>
        <w:t>податкові – забезпечують 50% загальної суми надходжень;</w:t>
      </w:r>
    </w:p>
    <w:p w:rsidR="00421E88" w:rsidRPr="001077A9" w:rsidRDefault="00421E88" w:rsidP="008B3A7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7A9">
        <w:rPr>
          <w:rFonts w:ascii="Times New Roman" w:hAnsi="Times New Roman" w:cs="Times New Roman"/>
          <w:sz w:val="28"/>
          <w:szCs w:val="28"/>
          <w:lang w:val="uk-UA"/>
        </w:rPr>
        <w:t>зовнішні – дотації та кредити (державні і приватні).</w:t>
      </w:r>
    </w:p>
    <w:p w:rsidR="006B71F3" w:rsidRDefault="006B71F3" w:rsidP="008B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A72" w:rsidRPr="008B3A72" w:rsidRDefault="008B3A72" w:rsidP="008B3A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7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Приєднані бюджети</w:t>
      </w:r>
    </w:p>
    <w:p w:rsidR="00E86AA9" w:rsidRDefault="008B3A72" w:rsidP="008B3A72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72">
        <w:rPr>
          <w:rFonts w:ascii="Times New Roman" w:hAnsi="Times New Roman" w:cs="Times New Roman"/>
          <w:sz w:val="28"/>
          <w:szCs w:val="28"/>
          <w:lang w:val="uk-UA"/>
        </w:rPr>
        <w:t>Специфічною рисою державних фінансів Франції є приєднані бюджети. Вони введені для організ</w:t>
      </w:r>
      <w:r w:rsidR="00E86AA9">
        <w:rPr>
          <w:rFonts w:ascii="Times New Roman" w:hAnsi="Times New Roman" w:cs="Times New Roman"/>
          <w:sz w:val="28"/>
          <w:szCs w:val="28"/>
          <w:lang w:val="uk-UA"/>
        </w:rPr>
        <w:t>ацій, які не є юридичними особа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 xml:space="preserve">ми, здійснюють торгово-промислові операції і користуються фінансовою автономією. Нараховується сім приєднаних бюджетів — один військовий і шість цивільних (громадянських). Серед них бюджети пошти, </w:t>
      </w:r>
      <w:r w:rsidRPr="008B3A72">
        <w:rPr>
          <w:rFonts w:ascii="Times New Roman" w:hAnsi="Times New Roman" w:cs="Times New Roman"/>
          <w:sz w:val="28"/>
          <w:szCs w:val="28"/>
        </w:rPr>
        <w:t xml:space="preserve">телеграфа, 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>телефону; соціал</w:t>
      </w:r>
      <w:r w:rsidR="00E86AA9">
        <w:rPr>
          <w:rFonts w:ascii="Times New Roman" w:hAnsi="Times New Roman" w:cs="Times New Roman"/>
          <w:sz w:val="28"/>
          <w:szCs w:val="28"/>
          <w:lang w:val="uk-UA"/>
        </w:rPr>
        <w:t>ьних сільськогосподарських допо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 xml:space="preserve">мог; національної друкарні; монетного двору; ордена Почесного легіона; ордена Звільнення. </w:t>
      </w:r>
    </w:p>
    <w:p w:rsidR="00E86AA9" w:rsidRDefault="008B3A72" w:rsidP="008B3A72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72">
        <w:rPr>
          <w:rFonts w:ascii="Times New Roman" w:hAnsi="Times New Roman" w:cs="Times New Roman"/>
          <w:sz w:val="28"/>
          <w:szCs w:val="28"/>
          <w:lang w:val="uk-UA"/>
        </w:rPr>
        <w:t xml:space="preserve">Провідне місце у приєднаних </w:t>
      </w:r>
      <w:r w:rsidRPr="008B3A72">
        <w:rPr>
          <w:rFonts w:ascii="Times New Roman" w:hAnsi="Times New Roman" w:cs="Times New Roman"/>
          <w:sz w:val="28"/>
          <w:szCs w:val="28"/>
        </w:rPr>
        <w:t xml:space="preserve">бюджетах 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 xml:space="preserve">(більше 2/3 їх витрат) </w:t>
      </w:r>
      <w:r w:rsidRPr="008B3A7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належить бюджету пошти. Джерелом його ресурсів є випуск позичок. 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>Друге місце займає бюджет соціал</w:t>
      </w:r>
      <w:r w:rsidR="00E86AA9">
        <w:rPr>
          <w:rFonts w:ascii="Times New Roman" w:hAnsi="Times New Roman" w:cs="Times New Roman"/>
          <w:sz w:val="28"/>
          <w:szCs w:val="28"/>
          <w:lang w:val="uk-UA"/>
        </w:rPr>
        <w:t>ьних сільськогосподарських допо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>мог. Його доходи формуються за р</w:t>
      </w:r>
      <w:r w:rsidR="00E86AA9">
        <w:rPr>
          <w:rFonts w:ascii="Times New Roman" w:hAnsi="Times New Roman" w:cs="Times New Roman"/>
          <w:sz w:val="28"/>
          <w:szCs w:val="28"/>
          <w:lang w:val="uk-UA"/>
        </w:rPr>
        <w:t>ахунок податків, соціальних вне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 xml:space="preserve">сків, субсидій. Об'єм інших бюджетів незначний. </w:t>
      </w:r>
    </w:p>
    <w:p w:rsidR="008B3A72" w:rsidRPr="008B3A72" w:rsidRDefault="008B3A72" w:rsidP="008B3A72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72">
        <w:rPr>
          <w:rFonts w:ascii="Times New Roman" w:hAnsi="Times New Roman" w:cs="Times New Roman"/>
          <w:sz w:val="28"/>
          <w:szCs w:val="28"/>
          <w:lang w:val="uk-UA"/>
        </w:rPr>
        <w:t>Приєднані бюджети відрізняються деякими особл</w:t>
      </w:r>
      <w:r w:rsidR="00E86AA9">
        <w:rPr>
          <w:rFonts w:ascii="Times New Roman" w:hAnsi="Times New Roman" w:cs="Times New Roman"/>
          <w:sz w:val="28"/>
          <w:szCs w:val="28"/>
          <w:lang w:val="uk-UA"/>
        </w:rPr>
        <w:t>ивостями від загального бюджету -</w:t>
      </w:r>
      <w:r w:rsidRPr="008B3A72">
        <w:rPr>
          <w:rFonts w:ascii="Times New Roman" w:hAnsi="Times New Roman" w:cs="Times New Roman"/>
          <w:sz w:val="28"/>
          <w:szCs w:val="28"/>
          <w:lang w:val="uk-UA"/>
        </w:rPr>
        <w:t xml:space="preserve"> вони включають доходи і витрати, пов'язані з поточною діяльністю, а також інвестиційні витрати і спеціальні ресурси, що виділяються на їх покриття.</w:t>
      </w:r>
    </w:p>
    <w:p w:rsidR="008B3A72" w:rsidRDefault="008B3A72" w:rsidP="008B3A72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4CCF" w:rsidRPr="00875CE4" w:rsidRDefault="00875CE4" w:rsidP="008B3A72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5C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Податкова система Франції.</w:t>
      </w:r>
    </w:p>
    <w:p w:rsidR="0035413E" w:rsidRDefault="0035413E" w:rsidP="00E86AA9">
      <w:pPr>
        <w:shd w:val="clear" w:color="auto" w:fill="FFFFFF"/>
        <w:spacing w:after="0" w:line="360" w:lineRule="auto"/>
        <w:ind w:left="23" w:right="45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Франція є унітарною державою, тому податки розподіляються за рівнем компетенції а два рівня:</w:t>
      </w:r>
    </w:p>
    <w:p w:rsidR="0035413E" w:rsidRDefault="0035413E" w:rsidP="0035413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Державні податки:</w:t>
      </w:r>
    </w:p>
    <w:p w:rsidR="0035413E" w:rsidRDefault="0035413E" w:rsidP="00153DB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податки на споживання</w:t>
      </w:r>
      <w:r w:rsidR="00153DBD">
        <w:rPr>
          <w:rFonts w:ascii="Times New Roman" w:hAnsi="Times New Roman" w:cs="Times New Roman"/>
          <w:sz w:val="28"/>
          <w:szCs w:val="28"/>
          <w:lang w:val="uk-UA"/>
        </w:rPr>
        <w:t xml:space="preserve"> ПДВ, акциз, мито)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413E" w:rsidRDefault="0035413E" w:rsidP="00153DB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прибуткові податки</w:t>
      </w:r>
      <w:r w:rsidR="00153DBD">
        <w:rPr>
          <w:rFonts w:ascii="Times New Roman" w:hAnsi="Times New Roman" w:cs="Times New Roman"/>
          <w:sz w:val="28"/>
          <w:szCs w:val="28"/>
          <w:lang w:val="uk-UA"/>
        </w:rPr>
        <w:t xml:space="preserve"> (податки з доходів фізичних осіб, корпоративний податок)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413E" w:rsidRDefault="0035413E" w:rsidP="00153DB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податки з капіталу</w:t>
      </w:r>
      <w:r w:rsidR="00153DBD">
        <w:rPr>
          <w:rFonts w:ascii="Times New Roman" w:hAnsi="Times New Roman" w:cs="Times New Roman"/>
          <w:sz w:val="28"/>
          <w:szCs w:val="28"/>
          <w:lang w:val="uk-UA"/>
        </w:rPr>
        <w:t xml:space="preserve"> (податки на власність і майно, соціальний податок на зарплату, податок на професійну освіту, реєстраційні та гербові збори, податок на автотранспортні засоби)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13E" w:rsidRPr="0035413E" w:rsidRDefault="00153DBD" w:rsidP="00153DB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Місцеві податки і збори (зімельний податок на забудовані ділянки, податок на незабудовані ділянки, професійний податок).</w:t>
      </w:r>
    </w:p>
    <w:p w:rsidR="00E86AA9" w:rsidRPr="00E86AA9" w:rsidRDefault="00E86AA9" w:rsidP="00E86AA9">
      <w:pPr>
        <w:shd w:val="clear" w:color="auto" w:fill="FFFFFF"/>
        <w:spacing w:after="0" w:line="360" w:lineRule="auto"/>
        <w:ind w:left="23" w:right="4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86AA9">
        <w:rPr>
          <w:rFonts w:ascii="Times New Roman" w:hAnsi="Times New Roman" w:cs="Times New Roman"/>
          <w:sz w:val="28"/>
          <w:szCs w:val="28"/>
          <w:lang w:val="uk-UA"/>
        </w:rPr>
        <w:t>Франція — одна з небагатьох розвинутих країн, де податкова сис</w:t>
      </w:r>
      <w:r w:rsidRPr="00E86AA9">
        <w:rPr>
          <w:rFonts w:ascii="Times New Roman" w:hAnsi="Times New Roman" w:cs="Times New Roman"/>
          <w:sz w:val="28"/>
          <w:szCs w:val="28"/>
          <w:lang w:val="uk-UA"/>
        </w:rPr>
        <w:softHyphen/>
        <w:t>тема орієнтована в основному на непряме оподаткування. Складови</w:t>
      </w:r>
      <w:r w:rsidRPr="00E86AA9">
        <w:rPr>
          <w:rFonts w:ascii="Times New Roman" w:hAnsi="Times New Roman" w:cs="Times New Roman"/>
          <w:sz w:val="28"/>
          <w:szCs w:val="28"/>
          <w:lang w:val="uk-UA"/>
        </w:rPr>
        <w:softHyphen/>
        <w:t>ми податкової системи Франції є податок на доход</w:t>
      </w:r>
      <w:r w:rsidR="00157CA0">
        <w:rPr>
          <w:rFonts w:ascii="Times New Roman" w:hAnsi="Times New Roman" w:cs="Times New Roman"/>
          <w:sz w:val="28"/>
          <w:szCs w:val="28"/>
          <w:lang w:val="uk-UA"/>
        </w:rPr>
        <w:t xml:space="preserve">и фізичних осіб, </w:t>
      </w:r>
      <w:r w:rsidRPr="00E86AA9">
        <w:rPr>
          <w:rFonts w:ascii="Times New Roman" w:hAnsi="Times New Roman" w:cs="Times New Roman"/>
          <w:sz w:val="28"/>
          <w:szCs w:val="28"/>
          <w:lang w:val="uk-UA"/>
        </w:rPr>
        <w:t>податок</w:t>
      </w:r>
      <w:r w:rsidR="00157CA0">
        <w:rPr>
          <w:rFonts w:ascii="Times New Roman" w:hAnsi="Times New Roman" w:cs="Times New Roman"/>
          <w:sz w:val="28"/>
          <w:szCs w:val="28"/>
          <w:lang w:val="uk-UA"/>
        </w:rPr>
        <w:t xml:space="preserve"> на прибуток корпорацій</w:t>
      </w:r>
      <w:r w:rsidRPr="00E86AA9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Pr="00E86AA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57CA0">
        <w:rPr>
          <w:rFonts w:ascii="Times New Roman" w:hAnsi="Times New Roman" w:cs="Times New Roman"/>
          <w:sz w:val="28"/>
          <w:szCs w:val="28"/>
          <w:lang w:val="uk-UA"/>
        </w:rPr>
        <w:t>даток на додану вартість</w:t>
      </w:r>
      <w:r w:rsidRPr="00E86A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AA9" w:rsidRDefault="0035413E" w:rsidP="003541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5413E">
        <w:rPr>
          <w:rFonts w:ascii="Times New Roman" w:hAnsi="Times New Roman" w:cs="Times New Roman"/>
          <w:b/>
          <w:sz w:val="28"/>
          <w:szCs w:val="28"/>
        </w:rPr>
        <w:t>Податок на додану вартість</w:t>
      </w:r>
      <w:r w:rsidRPr="0035413E">
        <w:rPr>
          <w:rFonts w:ascii="Times New Roman" w:hAnsi="Times New Roman" w:cs="Times New Roman"/>
          <w:sz w:val="28"/>
          <w:szCs w:val="28"/>
        </w:rPr>
        <w:t xml:space="preserve"> (TVA, taxe sur la valeur ajoutée) становить 20%. Існують дві понижені ставки: 10% для книг, проживання в готелях, місцевого громадського транспорту, харчування в ресторанах, а також для деяких фармацевтичних товарів; і 5,5% для більшості продовольчих товарів і товарів широкого вжитку. Пільгова ставка 2,1% застосовується тільки для ліків, що відпускаються за рецептом і які охоплюються програмами соціального захисту.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Існує підвищена ставка – 33,3% - для алкоголю, тютюнових виробів, автомобілів, предметам розкоші. </w:t>
      </w:r>
    </w:p>
    <w:p w:rsidR="00B11048" w:rsidRPr="00B11048" w:rsidRDefault="00B11048" w:rsidP="00B11048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1104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Платником ПДВ стає компанія, яка перевищила межу в € 33,2 тисячі для компаній, які надають послуги і € 82,8 тисячі для комерційних видів діяльності.</w:t>
      </w:r>
    </w:p>
    <w:p w:rsidR="006C7FFE" w:rsidRPr="006C7FFE" w:rsidRDefault="006C7FFE" w:rsidP="006C7F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Податок на доходи фізичних осіб </w:t>
      </w:r>
      <w:r w:rsidRPr="006C7FF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C7FFE">
        <w:rPr>
          <w:rFonts w:ascii="Times New Roman" w:hAnsi="Times New Roman" w:cs="Times New Roman"/>
          <w:b/>
          <w:sz w:val="28"/>
          <w:szCs w:val="28"/>
          <w:lang w:val="en-US"/>
        </w:rPr>
        <w:t>RPP</w:t>
      </w:r>
      <w:r w:rsidRPr="006C7FF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C7FFE" w:rsidRDefault="006C7FFE" w:rsidP="006C7FFE">
      <w:pPr>
        <w:shd w:val="clear" w:color="auto" w:fill="FFFFFF"/>
        <w:spacing w:after="0"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FE">
        <w:rPr>
          <w:rFonts w:ascii="Times New Roman" w:hAnsi="Times New Roman" w:cs="Times New Roman"/>
          <w:sz w:val="28"/>
          <w:szCs w:val="28"/>
          <w:lang w:val="uk-UA"/>
        </w:rPr>
        <w:t>Його сплачують як резиденти, так і нерезиденти. Джерелами оподат</w:t>
      </w:r>
      <w:r w:rsidRPr="006C7FFE">
        <w:rPr>
          <w:rFonts w:ascii="Times New Roman" w:hAnsi="Times New Roman" w:cs="Times New Roman"/>
          <w:sz w:val="28"/>
          <w:szCs w:val="28"/>
          <w:lang w:val="uk-UA"/>
        </w:rPr>
        <w:softHyphen/>
        <w:t>кування є такі категорії доходу: заробітна плата, пожиттєвий ануїтет; сільськогосподарські доходи; виро</w:t>
      </w:r>
      <w:r>
        <w:rPr>
          <w:rFonts w:ascii="Times New Roman" w:hAnsi="Times New Roman" w:cs="Times New Roman"/>
          <w:sz w:val="28"/>
          <w:szCs w:val="28"/>
          <w:lang w:val="uk-UA"/>
        </w:rPr>
        <w:t>бничі й комерційні доходи; неко</w:t>
      </w:r>
      <w:r w:rsidRPr="006C7FFE">
        <w:rPr>
          <w:rFonts w:ascii="Times New Roman" w:hAnsi="Times New Roman" w:cs="Times New Roman"/>
          <w:sz w:val="28"/>
          <w:szCs w:val="28"/>
          <w:lang w:val="uk-UA"/>
        </w:rPr>
        <w:t>мерційні доходи; земельні доходи; дохід від рухомого капіталу; до</w:t>
      </w:r>
      <w:r w:rsidRPr="006C7FFE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ходи у вигляді винагород від керівництва компанії.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C7FFE" w:rsidTr="006C7FFE">
        <w:tc>
          <w:tcPr>
            <w:tcW w:w="4785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Сума доходу, євро</w:t>
            </w:r>
          </w:p>
        </w:tc>
        <w:tc>
          <w:tcPr>
            <w:tcW w:w="4786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Ставка податку, %</w:t>
            </w:r>
          </w:p>
        </w:tc>
      </w:tr>
      <w:tr w:rsidR="006C7FFE" w:rsidTr="006C7FFE">
        <w:tc>
          <w:tcPr>
            <w:tcW w:w="4785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9807</w:t>
            </w:r>
          </w:p>
        </w:tc>
        <w:tc>
          <w:tcPr>
            <w:tcW w:w="4786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обкладається</w:t>
            </w:r>
          </w:p>
        </w:tc>
      </w:tr>
      <w:tr w:rsidR="006C7FFE" w:rsidTr="006C7FFE">
        <w:tc>
          <w:tcPr>
            <w:tcW w:w="4785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9807-27000</w:t>
            </w:r>
          </w:p>
        </w:tc>
        <w:tc>
          <w:tcPr>
            <w:tcW w:w="4786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6C7FFE" w:rsidTr="006C7FFE">
        <w:tc>
          <w:tcPr>
            <w:tcW w:w="4785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27001-72600</w:t>
            </w:r>
          </w:p>
        </w:tc>
        <w:tc>
          <w:tcPr>
            <w:tcW w:w="4786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C7FFE" w:rsidTr="006C7FFE">
        <w:tc>
          <w:tcPr>
            <w:tcW w:w="4785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726001-153800</w:t>
            </w:r>
          </w:p>
        </w:tc>
        <w:tc>
          <w:tcPr>
            <w:tcW w:w="4786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6C7FFE" w:rsidTr="006C7FFE">
        <w:tc>
          <w:tcPr>
            <w:tcW w:w="4785" w:type="dxa"/>
          </w:tcPr>
          <w:p w:rsidR="006C7FFE" w:rsidRPr="00D7692E" w:rsidRDefault="00D7692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 153800</w:t>
            </w:r>
          </w:p>
        </w:tc>
        <w:tc>
          <w:tcPr>
            <w:tcW w:w="4786" w:type="dxa"/>
          </w:tcPr>
          <w:p w:rsidR="006C7FFE" w:rsidRPr="00D7692E" w:rsidRDefault="006C7FFE" w:rsidP="006C7FF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6C7FFE" w:rsidRDefault="006C7FFE" w:rsidP="006C7FFE">
      <w:pPr>
        <w:shd w:val="clear" w:color="auto" w:fill="FFFFFF"/>
        <w:spacing w:after="0"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048" w:rsidRPr="00B11048" w:rsidRDefault="00B11048" w:rsidP="006C7FFE">
      <w:pPr>
        <w:shd w:val="clear" w:color="auto" w:fill="FFFFFF"/>
        <w:spacing w:after="0" w:line="360" w:lineRule="auto"/>
        <w:ind w:right="53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048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Корпоративний податок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11048" w:rsidRDefault="00B11048" w:rsidP="00B110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B11048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Зазвичай дохід французьких компаній оподатковується за ставкою 33,33% на весь дохід, отриманий на території Франції. У 2020 році планується зменшити цю ставку до 28% для всіх компаній. Зараз ставка оподаткування залежить від структури власності в капіталі компанії. Так, компанії з обмеженою відповідальністю, які в своїй структурі власників мають одну фізичну особу, можуть використовувати систему оподаткування для фізичних осіб.</w:t>
      </w:r>
    </w:p>
    <w:p w:rsidR="00486363" w:rsidRPr="00486363" w:rsidRDefault="00486363" w:rsidP="00B110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63">
        <w:rPr>
          <w:rFonts w:ascii="Times New Roman" w:hAnsi="Times New Roman" w:cs="Times New Roman"/>
          <w:sz w:val="28"/>
          <w:szCs w:val="28"/>
          <w:lang w:val="uk-UA"/>
        </w:rPr>
        <w:t>Для підприємств малого та середнього бізнесу ставка становить 15% (якщо річний дохід менше 38120 євро).</w:t>
      </w:r>
    </w:p>
    <w:p w:rsidR="006C7FFE" w:rsidRPr="00B11048" w:rsidRDefault="00B11048" w:rsidP="00B11048">
      <w:pPr>
        <w:shd w:val="clear" w:color="auto" w:fill="FFFFFF"/>
        <w:spacing w:after="0" w:line="36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048">
        <w:rPr>
          <w:rFonts w:ascii="Times New Roman" w:hAnsi="Times New Roman" w:cs="Times New Roman"/>
          <w:sz w:val="28"/>
          <w:szCs w:val="28"/>
        </w:rPr>
        <w:t>З точки зору ведення бізнесу французька податкова система є складною, з високими граничними ставками і адміністративними витратами. Згідно зі звітом «Ведення бізнесу 2017» від Світового банку, Франція займає 63-тє місце в розділі «Сплата податків» із загальної податковою ставкою на прибуток 62,8%, при середній ставці по країнах-членах ОЕСР у розмірі 40,9%</w:t>
      </w:r>
      <w:r w:rsidRPr="00B110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363" w:rsidRPr="00486363" w:rsidRDefault="00486363" w:rsidP="004863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363">
        <w:rPr>
          <w:rFonts w:ascii="Times New Roman" w:hAnsi="Times New Roman" w:cs="Times New Roman"/>
          <w:b/>
          <w:sz w:val="28"/>
          <w:szCs w:val="28"/>
          <w:lang w:val="uk-UA"/>
        </w:rPr>
        <w:t>Інші податки</w:t>
      </w:r>
    </w:p>
    <w:p w:rsidR="00486363" w:rsidRDefault="00486363" w:rsidP="00486363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363">
        <w:rPr>
          <w:rFonts w:ascii="Times New Roman" w:hAnsi="Times New Roman" w:cs="Times New Roman"/>
          <w:i/>
          <w:sz w:val="28"/>
          <w:szCs w:val="28"/>
          <w:lang w:val="uk-UA"/>
        </w:rPr>
        <w:t>Податок зі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3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спадщини та дарувань, 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>який сплачується за ставками, що залежать від родинних зв'язків та величини спадщини.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Супруг або супруга померлої особи податок не сплачують. Ставка податку варірує від 5%, якщо спадкоємцями є діти і до 60%, якщо відсутні родинні зв’язки з померлою особою.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363" w:rsidRDefault="00486363" w:rsidP="00486363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363">
        <w:rPr>
          <w:rFonts w:ascii="Times New Roman" w:hAnsi="Times New Roman" w:cs="Times New Roman"/>
          <w:i/>
          <w:sz w:val="28"/>
          <w:szCs w:val="28"/>
          <w:lang w:val="uk-UA"/>
        </w:rPr>
        <w:t>Реєстраційний податок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 xml:space="preserve"> справляється при оформленні документів, перш за все це передача прав власності на майно, створення, злиття компанії, збільшення її капіталу. </w:t>
      </w:r>
    </w:p>
    <w:p w:rsidR="00486363" w:rsidRDefault="00486363" w:rsidP="00486363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36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Перехід </w:t>
      </w:r>
      <w:r w:rsidRPr="00486363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права участі в управлінні акціонерним товариством </w:t>
      </w:r>
      <w:r w:rsidRPr="0048636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оподатковується 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 xml:space="preserve">так: для акцій — податок 10%; для частини акціонерного капіталу — 4,8%. </w:t>
      </w:r>
    </w:p>
    <w:p w:rsidR="00486363" w:rsidRPr="00486363" w:rsidRDefault="00486363" w:rsidP="00486363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Зміна комерційних фондів 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 xml:space="preserve">оподатковується </w:t>
      </w:r>
      <w:r w:rsidR="00C15826">
        <w:rPr>
          <w:rFonts w:ascii="Times New Roman" w:hAnsi="Times New Roman" w:cs="Times New Roman"/>
          <w:sz w:val="28"/>
          <w:szCs w:val="28"/>
          <w:lang w:val="uk-UA"/>
        </w:rPr>
        <w:t>залежно від ціни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363" w:rsidRDefault="00486363" w:rsidP="004863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363">
        <w:rPr>
          <w:rFonts w:ascii="Times New Roman" w:hAnsi="Times New Roman" w:cs="Times New Roman"/>
          <w:i/>
          <w:sz w:val="28"/>
          <w:szCs w:val="28"/>
          <w:lang w:val="uk-UA"/>
        </w:rPr>
        <w:t>Передача прав на нерухомість</w:t>
      </w:r>
      <w:r w:rsidRPr="00486363">
        <w:rPr>
          <w:rFonts w:ascii="Times New Roman" w:hAnsi="Times New Roman" w:cs="Times New Roman"/>
          <w:sz w:val="28"/>
          <w:szCs w:val="28"/>
          <w:lang w:val="uk-UA"/>
        </w:rPr>
        <w:t xml:space="preserve"> оподатковується таким чином:</w:t>
      </w:r>
    </w:p>
    <w:p w:rsidR="00C15826" w:rsidRPr="00C15826" w:rsidRDefault="00C15826" w:rsidP="00C1582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професійна нерухомість – 4,89%;</w:t>
      </w:r>
    </w:p>
    <w:p w:rsidR="00C15826" w:rsidRPr="00C15826" w:rsidRDefault="00C15826" w:rsidP="00C1582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податок комун (департаментів) – 2,25-4,89%.</w:t>
      </w:r>
    </w:p>
    <w:p w:rsidR="00017962" w:rsidRPr="00F11777" w:rsidRDefault="0016484E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 системи місцевих податків</w:t>
      </w:r>
      <w:r w:rsidR="00017962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варто виділити 4 основних податки:</w:t>
      </w:r>
    </w:p>
    <w:p w:rsidR="00017962" w:rsidRPr="00F11777" w:rsidRDefault="002433FA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="00017962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земельний податок на забудовані ділянки;</w:t>
      </w:r>
    </w:p>
    <w:p w:rsidR="00017962" w:rsidRPr="00F11777" w:rsidRDefault="002433FA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="00017962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земельний податок на незабудовані ділянки;</w:t>
      </w:r>
    </w:p>
    <w:p w:rsidR="00017962" w:rsidRPr="00F11777" w:rsidRDefault="002433FA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="00017962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податок на житло;</w:t>
      </w:r>
    </w:p>
    <w:p w:rsidR="00017962" w:rsidRPr="00F11777" w:rsidRDefault="002433FA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</w:t>
      </w:r>
      <w:r w:rsidR="00017962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професійний податок.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1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Земельний податок на забудо</w:t>
      </w:r>
      <w:r w:rsidR="0016484E" w:rsidRPr="002C1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вані ділянки</w:t>
      </w:r>
      <w:r w:rsidR="0016484E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стягується з облад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наних ділянок. Податок стосується всієї нерухомості — будинків, споруджень, резервуарів. Опо</w:t>
      </w:r>
      <w:r w:rsidR="009F06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датковувана частина дорівнює по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ловині кадастрової орендної вартості ділянки. Від даного податку звільняється державна власність, будинки, що перебувають за межами міст і призначені для 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викорис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тання. Звільнені від цього податку фізичні особи у віці старше 75 років, а також особи, що одержують допомогу з інвалідності.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1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Податок на незабудовані діля</w:t>
      </w:r>
      <w:r w:rsidR="00D4164F" w:rsidRPr="002C1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нки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торкається полів, лугів, лі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сів, кар'єрів, болот, ділянок під 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забудову й т. д. Кадастровий до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хід, який є базисом податку, вста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новлений на рівні 80 % від када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стрової орендної вартості ділянки. Від податку звільнені ділянки, що перебувають у державній власності.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1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Податок на житло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стягуєт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 як із власників житлових бу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динків, так і з орендарів. Малозабезпечені особи можуть бути звільнені цілком або частково 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сплати даного податку по їх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ньому основному місцю проживання.</w:t>
      </w:r>
    </w:p>
    <w:p w:rsidR="00017962" w:rsidRPr="00F11777" w:rsidRDefault="00017962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1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Професійний податок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вноситься юридичними й фізичними особами, щ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постійно здійснюють професійну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діяльність. Для розрахунку податку береться сума трьох елементів помножена на встановлену місцевими органами влади податкову ставку. Ці три елементи: орендна вартість не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рухомості, який розташовує плат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 податків для потреб своєї п</w:t>
      </w:r>
      <w:r w:rsidR="002C16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рофесійної діяльності; 18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 зар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плати, що сплачує платник пода</w:t>
      </w:r>
      <w:r w:rsidR="00D4164F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тків своїм співробітникам, а та</w:t>
      </w:r>
      <w:r w:rsidR="00903A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 отриманий їм дохід (10%); 16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 вартості всього обладнання, використовуваного у виробництві, незалежно від того, є воно власністю або орендовано підприємством. Розрахований по цих елементах розмір пода</w:t>
      </w:r>
      <w:r w:rsidR="00903A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 не повинен перевищувати 3,5</w:t>
      </w: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 від виробленої доданої вартості. Це законодавче обмеження.</w:t>
      </w:r>
    </w:p>
    <w:p w:rsidR="001B7C01" w:rsidRPr="001B7C01" w:rsidRDefault="001B7C01" w:rsidP="001B7C01">
      <w:pPr>
        <w:shd w:val="clear" w:color="auto" w:fill="FFFFFF"/>
        <w:spacing w:after="0" w:line="360" w:lineRule="auto"/>
        <w:ind w:left="10" w:right="29" w:firstLine="69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C01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податкової служби Франції</w:t>
      </w:r>
    </w:p>
    <w:p w:rsidR="001B7C01" w:rsidRPr="001B7C01" w:rsidRDefault="001B7C01" w:rsidP="001B7C01">
      <w:pPr>
        <w:shd w:val="clear" w:color="auto" w:fill="FFFFFF"/>
        <w:spacing w:after="0" w:line="360" w:lineRule="auto"/>
        <w:ind w:left="10" w:right="29"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C01">
        <w:rPr>
          <w:rFonts w:ascii="Times New Roman" w:hAnsi="Times New Roman" w:cs="Times New Roman"/>
          <w:sz w:val="28"/>
          <w:szCs w:val="28"/>
          <w:lang w:val="uk-UA"/>
        </w:rPr>
        <w:t>Податкова служба перебуває в складі Міністерства економіки, фі</w:t>
      </w:r>
      <w:r w:rsidRPr="001B7C01">
        <w:rPr>
          <w:rFonts w:ascii="Times New Roman" w:hAnsi="Times New Roman" w:cs="Times New Roman"/>
          <w:sz w:val="28"/>
          <w:szCs w:val="28"/>
          <w:lang w:val="uk-UA"/>
        </w:rPr>
        <w:softHyphen/>
        <w:t>нансів і бюджету. Центральним її органом є головне податкове уп</w:t>
      </w:r>
      <w:r w:rsidRPr="001B7C01">
        <w:rPr>
          <w:rFonts w:ascii="Times New Roman" w:hAnsi="Times New Roman" w:cs="Times New Roman"/>
          <w:sz w:val="28"/>
          <w:szCs w:val="28"/>
          <w:lang w:val="uk-UA"/>
        </w:rPr>
        <w:softHyphen/>
        <w:t>равління, яке підпорядковане міністру-делегату.</w:t>
      </w:r>
    </w:p>
    <w:p w:rsidR="001B7C01" w:rsidRPr="001B7C01" w:rsidRDefault="001B7C01" w:rsidP="001B7C01">
      <w:pPr>
        <w:shd w:val="clear" w:color="auto" w:fill="FFFFFF"/>
        <w:spacing w:after="0" w:line="360" w:lineRule="auto"/>
        <w:ind w:left="5" w:right="29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B7C01">
        <w:rPr>
          <w:rFonts w:ascii="Times New Roman" w:hAnsi="Times New Roman" w:cs="Times New Roman"/>
          <w:sz w:val="28"/>
          <w:szCs w:val="28"/>
          <w:lang w:val="uk-UA"/>
        </w:rPr>
        <w:t>Головне податкове управління керує діяльністю понад 80 тис. службовців податкової системи. В основному ці службовці сконцент</w:t>
      </w:r>
      <w:r w:rsidRPr="001B7C01">
        <w:rPr>
          <w:rFonts w:ascii="Times New Roman" w:hAnsi="Times New Roman" w:cs="Times New Roman"/>
          <w:sz w:val="28"/>
          <w:szCs w:val="28"/>
          <w:lang w:val="uk-UA"/>
        </w:rPr>
        <w:softHyphen/>
        <w:t>ровані в податкових центрах, яких у Франції нараховується 830, і в 16 інформаційних центрах. Податкові центри розраховують податко</w:t>
      </w:r>
      <w:r w:rsidRPr="001B7C01">
        <w:rPr>
          <w:rFonts w:ascii="Times New Roman" w:hAnsi="Times New Roman" w:cs="Times New Roman"/>
          <w:sz w:val="28"/>
          <w:szCs w:val="28"/>
          <w:lang w:val="uk-UA"/>
        </w:rPr>
        <w:softHyphen/>
        <w:t>ву базу по кожному податку. Стягнення податків базується на дек</w:t>
      </w:r>
      <w:r w:rsidRPr="001B7C01">
        <w:rPr>
          <w:rFonts w:ascii="Times New Roman" w:hAnsi="Times New Roman" w:cs="Times New Roman"/>
          <w:sz w:val="28"/>
          <w:szCs w:val="28"/>
          <w:lang w:val="uk-UA"/>
        </w:rPr>
        <w:softHyphen/>
        <w:t>ларації про доходи і контролі за правильністю її складання.</w:t>
      </w:r>
    </w:p>
    <w:p w:rsidR="001B7C01" w:rsidRPr="001B7C01" w:rsidRDefault="001B7C01" w:rsidP="001B7C01">
      <w:pPr>
        <w:shd w:val="clear" w:color="auto" w:fill="FFFFFF"/>
        <w:spacing w:after="0" w:line="360" w:lineRule="auto"/>
        <w:ind w:left="254" w:firstLine="697"/>
        <w:rPr>
          <w:rFonts w:ascii="Times New Roman" w:hAnsi="Times New Roman" w:cs="Times New Roman"/>
          <w:sz w:val="28"/>
          <w:szCs w:val="28"/>
        </w:rPr>
      </w:pPr>
      <w:r w:rsidRPr="001B7C01">
        <w:rPr>
          <w:rFonts w:ascii="Times New Roman" w:hAnsi="Times New Roman" w:cs="Times New Roman"/>
          <w:sz w:val="28"/>
          <w:szCs w:val="28"/>
          <w:lang w:val="uk-UA"/>
        </w:rPr>
        <w:t>При цьому контроль здійснюється двох видів:</w:t>
      </w:r>
    </w:p>
    <w:p w:rsidR="001B7C01" w:rsidRPr="001B7C01" w:rsidRDefault="001B7C01" w:rsidP="001B7C01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360" w:lineRule="auto"/>
        <w:ind w:left="254" w:firstLine="697"/>
        <w:rPr>
          <w:rFonts w:ascii="Times New Roman" w:hAnsi="Times New Roman" w:cs="Times New Roman"/>
          <w:sz w:val="28"/>
          <w:szCs w:val="28"/>
          <w:lang w:val="uk-UA"/>
        </w:rPr>
      </w:pPr>
      <w:r w:rsidRPr="001B7C01">
        <w:rPr>
          <w:rFonts w:ascii="Times New Roman" w:hAnsi="Times New Roman" w:cs="Times New Roman"/>
          <w:sz w:val="28"/>
          <w:szCs w:val="28"/>
          <w:lang w:val="uk-UA"/>
        </w:rPr>
        <w:t>за даними документів, що надаються;</w:t>
      </w:r>
    </w:p>
    <w:p w:rsidR="001B7C01" w:rsidRPr="001B7C01" w:rsidRDefault="001B7C01" w:rsidP="001B7C01">
      <w:pPr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360" w:lineRule="auto"/>
        <w:ind w:left="254" w:firstLine="697"/>
        <w:rPr>
          <w:rFonts w:ascii="Times New Roman" w:hAnsi="Times New Roman" w:cs="Times New Roman"/>
          <w:sz w:val="28"/>
          <w:szCs w:val="28"/>
          <w:lang w:val="uk-UA"/>
        </w:rPr>
      </w:pPr>
      <w:r w:rsidRPr="001B7C01">
        <w:rPr>
          <w:rFonts w:ascii="Times New Roman" w:hAnsi="Times New Roman" w:cs="Times New Roman"/>
          <w:sz w:val="28"/>
          <w:szCs w:val="28"/>
          <w:lang w:val="uk-UA"/>
        </w:rPr>
        <w:t>детальний контроль.</w:t>
      </w:r>
    </w:p>
    <w:p w:rsidR="0021419C" w:rsidRDefault="0021419C" w:rsidP="001B7C0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962" w:rsidRPr="00F11777" w:rsidRDefault="0021419C" w:rsidP="009C5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17962" w:rsidRPr="00F11777">
        <w:rPr>
          <w:rFonts w:ascii="Times New Roman" w:hAnsi="Times New Roman" w:cs="Times New Roman"/>
          <w:b/>
          <w:sz w:val="28"/>
          <w:szCs w:val="28"/>
          <w:lang w:val="uk-UA"/>
        </w:rPr>
        <w:t>. Фінансова система Німеччини.</w:t>
      </w:r>
    </w:p>
    <w:p w:rsidR="009156E9" w:rsidRPr="00F11777" w:rsidRDefault="009C5C95" w:rsidP="009156E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Федеративна Республіка Німеччина (ФРН) складається з 16 федеральних  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земель.</w:t>
      </w:r>
      <w:r w:rsidR="009156E9" w:rsidRPr="009156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56E9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Голова держави — президент, який обирається на 5 років Федеральними зборами, що складаються з членів Бундестагу і такого ж </w:t>
      </w:r>
      <w:r w:rsidR="009156E9"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числа членів Ландтагів (парламентів земель). Федеральний президент не входить ні до складу уряду, ні законодавчих органів.</w:t>
      </w:r>
    </w:p>
    <w:p w:rsidR="009156E9" w:rsidRPr="00F11777" w:rsidRDefault="009156E9" w:rsidP="009156E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Законодавча влада представлена Бундестагом (у складі 496 депутатів, до яких входять представники народу, що обираються шляхом прямих і загальних виборів на 4 роки) та Бундесратом  (що складається з членів уряду земель, які їх призначають і мають право відкликати). Крім того, існує Об'єднаний комітет, що складається на 2/3 з депутатів Бундестагу і 1/3 членів Бундесрату.</w:t>
      </w:r>
    </w:p>
    <w:p w:rsidR="009156E9" w:rsidRPr="00F11777" w:rsidRDefault="009156E9" w:rsidP="009156E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Виконавча влада належить уряду на чолі з Федеральним канцлером— головною фігурою конституційного механізму Німеччини. Уряд координує і контролює роботу всіх міністерств. Усі землі мають власні конституції, виборні законодавчі органи й уряди на чолі з прем’єр-міністром.</w:t>
      </w:r>
    </w:p>
    <w:p w:rsidR="00E17A3F" w:rsidRDefault="009C5C95" w:rsidP="00B910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>Сучасний бюджетний устрій ФРН базується на сильній</w:t>
      </w:r>
      <w:r w:rsidR="00B91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 xml:space="preserve">децентралізованій системі і об’єднує </w:t>
      </w:r>
      <w:r w:rsidR="00E17A3F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 xml:space="preserve"> рівні –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>федерації, бюджети 16 земель і понад 11 тис. громад,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>утворюють округи</w:t>
      </w:r>
      <w:r w:rsidR="00E17A3F">
        <w:rPr>
          <w:rFonts w:ascii="Times New Roman" w:hAnsi="Times New Roman" w:cs="Times New Roman"/>
          <w:sz w:val="28"/>
          <w:szCs w:val="28"/>
          <w:lang w:val="uk-UA"/>
        </w:rPr>
        <w:t>, спеціальні фонди, бюджети державних підприємств.</w:t>
      </w:r>
    </w:p>
    <w:p w:rsidR="00B91098" w:rsidRPr="00F11777" w:rsidRDefault="00B91098" w:rsidP="00B9109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рівні земель діє уряд і парламент (Ландтаг). У складі уряду землі діє Міністерство фінансів, яке по відомчій лінії підкоряється федеральному Міністерству фінансів.</w:t>
      </w:r>
    </w:p>
    <w:p w:rsidR="007E17FA" w:rsidRPr="009C5C95" w:rsidRDefault="009C5C95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C95">
        <w:rPr>
          <w:rFonts w:ascii="Times New Roman" w:hAnsi="Times New Roman" w:cs="Times New Roman"/>
          <w:sz w:val="28"/>
          <w:szCs w:val="28"/>
          <w:lang w:val="uk-UA"/>
        </w:rPr>
        <w:t>Формально всі ланки бюджетної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>автономні, тобто самостійно складають бюджет, стягують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>податки, збори, витрачають кошти на виконання функцій,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  <w:lang w:val="uk-UA"/>
        </w:rPr>
        <w:t xml:space="preserve">що підпадають під їхню юрисдикцію. </w:t>
      </w:r>
      <w:r w:rsidRPr="009C5C95">
        <w:rPr>
          <w:rFonts w:ascii="Times New Roman" w:hAnsi="Times New Roman" w:cs="Times New Roman"/>
          <w:sz w:val="28"/>
          <w:szCs w:val="28"/>
        </w:rPr>
        <w:t>Водночас, у фінансовій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</w:rPr>
        <w:t>статистиці Німеччини всі перелічені ланки бюджетної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C95">
        <w:rPr>
          <w:rFonts w:ascii="Times New Roman" w:hAnsi="Times New Roman" w:cs="Times New Roman"/>
          <w:sz w:val="28"/>
          <w:szCs w:val="28"/>
        </w:rPr>
        <w:t>об’єднані в поняття «зведений бюджет держави»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098" w:rsidRPr="00F11777" w:rsidRDefault="00B91098" w:rsidP="00B9109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1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Головні фінансові управління і податкові інспекції є структурними підрозділами Міністерства фінансів і одночасно вони діють як представники федерації. Головне фінансове управління (ГФУ) або Верховна фінансова дирекція існує тільки на рівні земель і керує підвідомчими податковими інспекціями. Керуючий ГФУ — президент, який призначається по черзі то федерацією, то землею.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В основу функціонування бюджетної системи ФРН</w:t>
      </w:r>
      <w:r w:rsidRPr="00E1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покладено такі принципи: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середньострокове фінансове планування;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конкуренція потреб і пріоритетів при розгляді бюджету</w:t>
      </w:r>
      <w:r w:rsidRPr="00E1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в</w:t>
      </w:r>
      <w:r w:rsidRPr="00E1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парламенті;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дотримання класичних принципів єдності і повноти</w:t>
      </w:r>
      <w:r w:rsidRPr="00E1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бюджету;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«золоте правило», за яким приріст державного боргу не</w:t>
      </w:r>
      <w:r w:rsidRPr="00E1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повинен перевищувати обсягу інвестицій за рахунок</w:t>
      </w:r>
      <w:r w:rsidRPr="00E1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бюджетних коштів.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7A3F">
        <w:rPr>
          <w:rFonts w:ascii="Times New Roman" w:hAnsi="Times New Roman" w:cs="Times New Roman"/>
          <w:b/>
          <w:sz w:val="28"/>
          <w:szCs w:val="28"/>
        </w:rPr>
        <w:t>У ФРН фінансовий рік співпадає з календарним.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72A">
        <w:rPr>
          <w:rFonts w:ascii="Times New Roman" w:hAnsi="Times New Roman" w:cs="Times New Roman"/>
          <w:b/>
          <w:sz w:val="28"/>
          <w:szCs w:val="28"/>
        </w:rPr>
        <w:t>Бюджетний процес складається з трьох стадій</w:t>
      </w:r>
      <w:r w:rsidRPr="00E17A3F">
        <w:rPr>
          <w:rFonts w:ascii="Times New Roman" w:hAnsi="Times New Roman" w:cs="Times New Roman"/>
          <w:sz w:val="28"/>
          <w:szCs w:val="28"/>
        </w:rPr>
        <w:t xml:space="preserve"> (складання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проекту бюджету, затвердження та виконання федерального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бюджету), що передбачають визначення очікуваних доходів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видатків в бюджетному плані, ведення бюджетного обліку,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фактичне відображення виконання бюджету. У бюджетному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процесі головну роль відіграють такі органи влади та їхні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структурні підрозділи: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1) Міністерство фінансів (готує проект бюджету на 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федерації) і уряд (подає проект бюджету на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парламенту);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2) представницькі органи: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бундесрат (попередній розгляд і затвердження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закону про бюджет);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бундестаг (затверджує проект бюджету), у складі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функціонують: бюджетний комітет (традиційно голова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комітету обирається від представників опозиційних партій);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підкомітет з перевірки звітності (бере участь у перевірці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виконання бюджету);</w:t>
      </w:r>
    </w:p>
    <w:p w:rsidR="00E17A3F" w:rsidRPr="00E17A3F" w:rsidRDefault="00E17A3F" w:rsidP="00E17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3F">
        <w:rPr>
          <w:rFonts w:ascii="Times New Roman" w:hAnsi="Times New Roman" w:cs="Times New Roman"/>
          <w:sz w:val="28"/>
          <w:szCs w:val="28"/>
        </w:rPr>
        <w:t>— Федеральна рахункова палата – вищий контрольний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орган ФРН у сфері державних фінансів (здійснює контроль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A3F">
        <w:rPr>
          <w:rFonts w:ascii="Times New Roman" w:hAnsi="Times New Roman" w:cs="Times New Roman"/>
          <w:sz w:val="28"/>
          <w:szCs w:val="28"/>
        </w:rPr>
        <w:t>окремими напрямами виконання бюджету);</w:t>
      </w:r>
    </w:p>
    <w:p w:rsidR="0081672A" w:rsidRPr="0081672A" w:rsidRDefault="00E17A3F" w:rsidP="008167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1672A">
        <w:rPr>
          <w:rFonts w:ascii="Times New Roman" w:hAnsi="Times New Roman" w:cs="Times New Roman"/>
          <w:sz w:val="28"/>
          <w:szCs w:val="28"/>
        </w:rPr>
        <w:t>3) Федеральний казначейський двір</w:t>
      </w:r>
      <w:r w:rsidR="0081672A" w:rsidRPr="008167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672A" w:rsidRPr="0081672A">
        <w:rPr>
          <w:rFonts w:ascii="Times New Roman" w:hAnsi="Times New Roman" w:cs="Times New Roman"/>
          <w:sz w:val="28"/>
          <w:szCs w:val="28"/>
        </w:rPr>
        <w:t>– незалежний</w:t>
      </w:r>
      <w:r w:rsidR="0081672A" w:rsidRPr="00816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72A" w:rsidRPr="0081672A">
        <w:rPr>
          <w:rFonts w:ascii="Times New Roman" w:hAnsi="Times New Roman" w:cs="Times New Roman"/>
          <w:sz w:val="28"/>
          <w:szCs w:val="28"/>
        </w:rPr>
        <w:t>державний заклад, що діє згідно з Федеральною і земельними</w:t>
      </w:r>
      <w:r w:rsidR="0081672A" w:rsidRPr="008167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672A" w:rsidRPr="0081672A">
        <w:rPr>
          <w:rFonts w:ascii="Times New Roman" w:hAnsi="Times New Roman" w:cs="Times New Roman"/>
          <w:sz w:val="28"/>
          <w:szCs w:val="28"/>
        </w:rPr>
        <w:t>конституціями, функціональне призначення якого полягає у</w:t>
      </w:r>
      <w:r w:rsidR="0081672A" w:rsidRPr="008167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672A" w:rsidRPr="0081672A">
        <w:rPr>
          <w:rFonts w:ascii="Times New Roman" w:hAnsi="Times New Roman" w:cs="Times New Roman"/>
          <w:sz w:val="28"/>
          <w:szCs w:val="28"/>
        </w:rPr>
        <w:t>контролі за економічною і фінансовою діяльністю (в т.ч. він</w:t>
      </w:r>
      <w:r w:rsidR="0081672A" w:rsidRPr="008167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672A" w:rsidRPr="0081672A">
        <w:rPr>
          <w:rFonts w:ascii="Times New Roman" w:hAnsi="Times New Roman" w:cs="Times New Roman"/>
          <w:sz w:val="28"/>
          <w:szCs w:val="28"/>
        </w:rPr>
        <w:t>може перевіряти роботу Міністерства фінансів).</w:t>
      </w:r>
    </w:p>
    <w:p w:rsidR="009C5C95" w:rsidRPr="00E71825" w:rsidRDefault="00E71825" w:rsidP="00E718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825">
        <w:rPr>
          <w:rFonts w:ascii="Times New Roman" w:hAnsi="Times New Roman" w:cs="Times New Roman"/>
          <w:sz w:val="28"/>
          <w:szCs w:val="28"/>
          <w:lang w:val="uk-UA"/>
        </w:rPr>
        <w:t>У бюджетному процесі Німеччини діє принцип розподілу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825">
        <w:rPr>
          <w:rFonts w:ascii="Times New Roman" w:hAnsi="Times New Roman" w:cs="Times New Roman"/>
          <w:sz w:val="28"/>
          <w:szCs w:val="28"/>
          <w:lang w:val="uk-UA"/>
        </w:rPr>
        <w:t>влади, згідно з яким виконання бюджету – абсолютна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825">
        <w:rPr>
          <w:rFonts w:ascii="Times New Roman" w:hAnsi="Times New Roman" w:cs="Times New Roman"/>
          <w:sz w:val="28"/>
          <w:szCs w:val="28"/>
          <w:lang w:val="uk-UA"/>
        </w:rPr>
        <w:t>компетенція уряду, і парламент не має права вимагати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825">
        <w:rPr>
          <w:rFonts w:ascii="Times New Roman" w:hAnsi="Times New Roman" w:cs="Times New Roman"/>
          <w:sz w:val="28"/>
          <w:szCs w:val="28"/>
          <w:lang w:val="uk-UA"/>
        </w:rPr>
        <w:t>уряду, щоб він у повному обсязі виконував окремі статті (як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825">
        <w:rPr>
          <w:rFonts w:ascii="Times New Roman" w:hAnsi="Times New Roman" w:cs="Times New Roman"/>
          <w:sz w:val="28"/>
          <w:szCs w:val="28"/>
          <w:lang w:val="uk-UA"/>
        </w:rPr>
        <w:t xml:space="preserve">правило контролюються лише основні показники). </w:t>
      </w:r>
    </w:p>
    <w:p w:rsidR="00477819" w:rsidRPr="00693C22" w:rsidRDefault="00477819" w:rsidP="00477819">
      <w:pPr>
        <w:shd w:val="clear" w:color="auto" w:fill="FFFFFF"/>
        <w:spacing w:after="0" w:line="360" w:lineRule="auto"/>
        <w:ind w:left="6" w:right="23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2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У </w:t>
      </w:r>
      <w:r w:rsidR="0089299F" w:rsidRPr="00693C22">
        <w:rPr>
          <w:rFonts w:ascii="Times New Roman" w:hAnsi="Times New Roman" w:cs="Times New Roman"/>
          <w:spacing w:val="-1"/>
          <w:sz w:val="28"/>
          <w:szCs w:val="28"/>
          <w:lang w:val="uk-UA"/>
        </w:rPr>
        <w:t>2017</w:t>
      </w:r>
      <w:r w:rsidRPr="00693C2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році державні видатки у ФРН склали, за оцінкою, </w:t>
      </w:r>
      <w:r w:rsidR="00693C22" w:rsidRPr="00693C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1573</w:t>
      </w:r>
      <w:r w:rsidR="0089299F" w:rsidRPr="00693C22">
        <w:rPr>
          <w:rFonts w:ascii="Times New Roman" w:hAnsi="Times New Roman" w:cs="Times New Roman"/>
          <w:sz w:val="28"/>
          <w:szCs w:val="28"/>
          <w:shd w:val="clear" w:color="auto" w:fill="FFFFFF"/>
        </w:rPr>
        <w:t> мільярда євро.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t xml:space="preserve"> Понад 40% державних видатків припадало на соціальні ви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плати. Державні доходи склали, за оцінкою, 1</w:t>
      </w:r>
      <w:r w:rsidR="00693C22" w:rsidRPr="00693C22">
        <w:rPr>
          <w:rFonts w:ascii="Times New Roman" w:hAnsi="Times New Roman" w:cs="Times New Roman"/>
          <w:sz w:val="28"/>
          <w:szCs w:val="28"/>
          <w:lang w:val="uk-UA"/>
        </w:rPr>
        <w:t>598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22">
        <w:rPr>
          <w:rFonts w:ascii="Times New Roman" w:hAnsi="Times New Roman" w:cs="Times New Roman"/>
          <w:sz w:val="28"/>
          <w:szCs w:val="28"/>
        </w:rPr>
        <w:t xml:space="preserve">млрд </w:t>
      </w:r>
      <w:r w:rsidR="00693C22" w:rsidRPr="00693C22">
        <w:rPr>
          <w:rFonts w:ascii="Times New Roman" w:hAnsi="Times New Roman" w:cs="Times New Roman"/>
          <w:sz w:val="28"/>
          <w:szCs w:val="28"/>
          <w:lang w:val="uk-UA"/>
        </w:rPr>
        <w:t>євро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t xml:space="preserve"> (при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близно 4</w:t>
      </w:r>
      <w:r w:rsidR="00693C22" w:rsidRPr="00693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Pr="00693C22">
        <w:rPr>
          <w:rFonts w:ascii="Times New Roman" w:hAnsi="Times New Roman" w:cs="Times New Roman"/>
          <w:sz w:val="28"/>
          <w:szCs w:val="28"/>
        </w:rPr>
        <w:t xml:space="preserve">ВВП 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t>країни). 45% доходів надходило за рахунок прямих і непрямих податків, приблизно стільки ж — з відрахувань на соці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альне забезпечення. Близько 60% податкових надходжень мали своїм джерелом всього два види податків — прибутковий податок і податок на додану вартість. Державний розподіл податкової виручки забез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печувався шляхом періодичних переговорів між федеральними, зе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мельними і місцевими владами. Приблизно половина податків над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ходить до земельних і місцевих бюджетів, менше половини — феде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ральному уряду, залишки передаються на потреби ЄС. Потім відбу</w:t>
      </w:r>
      <w:r w:rsidRPr="00693C22">
        <w:rPr>
          <w:rFonts w:ascii="Times New Roman" w:hAnsi="Times New Roman" w:cs="Times New Roman"/>
          <w:sz w:val="28"/>
          <w:szCs w:val="28"/>
          <w:lang w:val="uk-UA"/>
        </w:rPr>
        <w:softHyphen/>
        <w:t>вається перерозподіл зібраних податків у вигляді трансфертів з більш багатих земель ФРН у бідніші.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CB">
        <w:rPr>
          <w:rFonts w:ascii="Times New Roman" w:hAnsi="Times New Roman" w:cs="Times New Roman"/>
          <w:b/>
          <w:sz w:val="28"/>
          <w:szCs w:val="28"/>
          <w:lang w:val="uk-UA"/>
        </w:rPr>
        <w:t>Доходи федерального бюджету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CB">
        <w:rPr>
          <w:rFonts w:ascii="Times New Roman" w:hAnsi="Times New Roman" w:cs="Times New Roman"/>
          <w:sz w:val="28"/>
          <w:szCs w:val="28"/>
          <w:lang w:val="uk-UA"/>
        </w:rPr>
        <w:t>Податкова система ФРН включає прямі і непрямі податки. Ос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новними платниками податків є робітники і службовці. На їх частку припадає біля </w:t>
      </w:r>
      <w:r w:rsidR="00762BD3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t>% всіх податкових надходжень в країні. Податки не обмежуються тільки федеральними податками. Вони доповнюються внесками на соціальне страхування і місцевими податками.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CB">
        <w:rPr>
          <w:rFonts w:ascii="Times New Roman" w:hAnsi="Times New Roman" w:cs="Times New Roman"/>
          <w:sz w:val="28"/>
          <w:szCs w:val="28"/>
          <w:lang w:val="uk-UA"/>
        </w:rPr>
        <w:t>Податкові надходження становлять 4/5 всіх доходів бюджету, при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чому на 2/3 податкові надходження формуються за рахунок прямих податків (прибуткового або податку на зарплату, корпоративного, промислового). Проте їх частка в бюджетах різних рівнів різна. В бюджетних доходах федерації, земель і общин вона становить відпо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відно: 9/10; 7/10 і 1/3.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left="5" w:right="5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CB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</w:t>
      </w:r>
      <w:r w:rsidRPr="00D730CB">
        <w:rPr>
          <w:rFonts w:ascii="Times New Roman" w:hAnsi="Times New Roman" w:cs="Times New Roman"/>
          <w:b/>
          <w:sz w:val="28"/>
          <w:szCs w:val="28"/>
          <w:lang w:val="uk-UA"/>
        </w:rPr>
        <w:t>витрат федерального бюджету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відображає функції, ви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конувані федеральним урядом. На центральний уряд лягають всі військові витрати і витрати на зовнішні відносини, основна.частина соціальних витрат, а також витрати на фінансове сприяння (субси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дування, пільгове кредитування або пряме фінансування) окремих галузей виробництва і регіонів, на науку і освіту, на утримання адміністративного апарату.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left="5" w:right="14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CB">
        <w:rPr>
          <w:rFonts w:ascii="Times New Roman" w:hAnsi="Times New Roman" w:cs="Times New Roman"/>
          <w:sz w:val="28"/>
          <w:szCs w:val="28"/>
          <w:lang w:val="uk-UA"/>
        </w:rPr>
        <w:t>Важливе місце в системі державного регулювання належить бюд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жетним витратам на економіку (витрати на житлове будівництво, комунальне господарство, енергетику, видобувну промисловість, об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робну промисловість, зв'язок, транспорт і сільське господарство). З них до 90% йде на фінансування виробничої інфраструктури: будів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ництво і підтримка доріг, аеродромів, федеральної залізниці і пошти.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left="5" w:right="24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730CB">
        <w:rPr>
          <w:rFonts w:ascii="Times New Roman" w:hAnsi="Times New Roman" w:cs="Times New Roman"/>
          <w:sz w:val="28"/>
          <w:szCs w:val="28"/>
          <w:lang w:val="uk-UA"/>
        </w:rPr>
        <w:t>Військові витрати у федеральному бюджеті країни становлять при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близно 25—30%. Причому слід зазначити, що велика частка військо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>вих витрат припадає на бюджети земель і общин.</w:t>
      </w:r>
    </w:p>
    <w:p w:rsidR="00D730CB" w:rsidRPr="00D730CB" w:rsidRDefault="00D730CB" w:rsidP="00D730CB">
      <w:pPr>
        <w:shd w:val="clear" w:color="auto" w:fill="FFFFFF"/>
        <w:spacing w:after="0" w:line="360" w:lineRule="auto"/>
        <w:ind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730CB">
        <w:rPr>
          <w:rFonts w:ascii="Times New Roman" w:hAnsi="Times New Roman" w:cs="Times New Roman"/>
          <w:sz w:val="28"/>
          <w:szCs w:val="28"/>
          <w:lang w:val="uk-UA"/>
        </w:rPr>
        <w:t>Фінансування науково-технічних програм здійснюється через мі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ністерство досліджень і технологій. Частка витрат на науку і освіту невелика (2—5%) у порівнянні з соціальними виплатами, субсидіями на економіку і витратами на управління. Фінансування НДДКР — 2,9% від </w:t>
      </w:r>
      <w:r w:rsidRPr="00D730CB">
        <w:rPr>
          <w:rFonts w:ascii="Times New Roman" w:hAnsi="Times New Roman" w:cs="Times New Roman"/>
          <w:sz w:val="28"/>
          <w:szCs w:val="28"/>
        </w:rPr>
        <w:t xml:space="preserve">ВВП. 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управління становлять близько 3% витрат </w:t>
      </w:r>
      <w:r w:rsidRPr="00D730C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федерального бюджету і включають витрати на утримання верховних </w:t>
      </w:r>
      <w:r w:rsidRPr="00D730CB">
        <w:rPr>
          <w:rFonts w:ascii="Times New Roman" w:hAnsi="Times New Roman" w:cs="Times New Roman"/>
          <w:sz w:val="28"/>
          <w:szCs w:val="28"/>
          <w:lang w:val="uk-UA"/>
        </w:rPr>
        <w:t>органів влади і федерального державного апарату.</w:t>
      </w:r>
    </w:p>
    <w:p w:rsidR="009C5C95" w:rsidRPr="00762BD3" w:rsidRDefault="00762BD3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Державний борг</w:t>
      </w:r>
      <w:r w:rsidR="00B910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Німеччини у 2017 р. складав 64,1% від ВВП. З 2014 р. ФРН закінчує фінансовий рік з </w:t>
      </w:r>
      <w:r w:rsidR="00F22F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профіцит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ним бюджетом. </w:t>
      </w:r>
    </w:p>
    <w:p w:rsidR="0053728E" w:rsidRPr="0053728E" w:rsidRDefault="0053728E" w:rsidP="0053728E">
      <w:pPr>
        <w:shd w:val="clear" w:color="auto" w:fill="FFFFFF"/>
        <w:spacing w:after="0" w:line="360" w:lineRule="auto"/>
        <w:ind w:left="24" w:firstLine="686"/>
        <w:rPr>
          <w:rFonts w:ascii="Times New Roman" w:hAnsi="Times New Roman" w:cs="Times New Roman"/>
          <w:sz w:val="28"/>
          <w:szCs w:val="28"/>
          <w:lang w:val="uk-UA"/>
        </w:rPr>
      </w:pPr>
      <w:r w:rsidRPr="0053728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Спеціальні урядові фундації</w:t>
      </w:r>
    </w:p>
    <w:p w:rsidR="0053728E" w:rsidRPr="0053728E" w:rsidRDefault="0053728E" w:rsidP="0053728E">
      <w:pPr>
        <w:shd w:val="clear" w:color="auto" w:fill="FFFFFF"/>
        <w:spacing w:after="0" w:line="360" w:lineRule="auto"/>
        <w:ind w:left="5" w:right="58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2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Спеціальні фундації — 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t>важлива ланка фінансової системи ФРН</w:t>
      </w:r>
      <w:r w:rsidRPr="005372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t>За об'ємом ці фундації стоять на другому місці після державного бюджету країни. Головне місце серед них займає Фундація соціаль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ного страхування, яка складається з великого числа автономних фун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дацій, що охоплюють окремі види страхування, — це фундації стра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хування по тимчасовій непрацездатності, на випадок безробіття, від нещасних випадків.</w:t>
      </w:r>
    </w:p>
    <w:p w:rsidR="0053728E" w:rsidRPr="0053728E" w:rsidRDefault="0053728E" w:rsidP="0053728E">
      <w:pPr>
        <w:shd w:val="clear" w:color="auto" w:fill="FFFFFF"/>
        <w:spacing w:after="0" w:line="360" w:lineRule="auto"/>
        <w:ind w:left="5" w:right="38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28E">
        <w:rPr>
          <w:rFonts w:ascii="Times New Roman" w:hAnsi="Times New Roman" w:cs="Times New Roman"/>
          <w:sz w:val="28"/>
          <w:szCs w:val="28"/>
          <w:lang w:val="uk-UA"/>
        </w:rPr>
        <w:t>Загальною для всіх фундацій соціального страхування є система мобілізації доходів. Кошти фундацій утворюються за рахунок трьох джерел: обов'язкових відрахувань, внесків підприємців і державних субсидій з федерального бюджету. Найбільшу частку становлять від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рахування підприємців.</w:t>
      </w:r>
    </w:p>
    <w:p w:rsidR="0053728E" w:rsidRPr="0053728E" w:rsidRDefault="0053728E" w:rsidP="0053728E">
      <w:pPr>
        <w:shd w:val="clear" w:color="auto" w:fill="FFFFFF"/>
        <w:spacing w:after="0" w:line="360" w:lineRule="auto"/>
        <w:ind w:left="10" w:right="24"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28E">
        <w:rPr>
          <w:rFonts w:ascii="Times New Roman" w:hAnsi="Times New Roman" w:cs="Times New Roman"/>
          <w:sz w:val="28"/>
          <w:szCs w:val="28"/>
          <w:lang w:val="uk-UA"/>
        </w:rPr>
        <w:t>Фундації соціального страхування здійснюють страхування від не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щасних випадків, страхування на випадок хвороби, пенсійне страху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вання робітників і службовців, пенсійне страхування осіб, що не працюють за наймом.</w:t>
      </w:r>
    </w:p>
    <w:p w:rsidR="0053728E" w:rsidRPr="0053728E" w:rsidRDefault="0053728E" w:rsidP="0053728E">
      <w:pPr>
        <w:shd w:val="clear" w:color="auto" w:fill="FFFFFF"/>
        <w:spacing w:after="0" w:line="360" w:lineRule="auto"/>
        <w:ind w:left="5" w:right="1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53728E">
        <w:rPr>
          <w:rFonts w:ascii="Times New Roman" w:hAnsi="Times New Roman" w:cs="Times New Roman"/>
          <w:sz w:val="28"/>
          <w:szCs w:val="28"/>
          <w:lang w:val="uk-UA"/>
        </w:rPr>
        <w:t>Найзначнішими, окрім податків, є внески на соціальне страхуван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ня. Ці внески є фінансово-економічною основою колективної під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тримки на випадок старості, хвороби і кризи. Згідно з основним законом Федерація має конкуруючу законодавчу компетенцію в га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53728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лузі соціального страхування, включаючи страхування по безробіттю. 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t>Це право регулювання спеціальної грошової фундації для покриття соціальних потреб використовується також для фінансування соці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ального страхування, тобто для введення податків по соціальному страхуванню. Соціальна допомога та інші види соціальних послуг, що надаються державою, фінансуються за рахунок податків, тобто всього суспільства, і в масштабі всього суспільства — за рахунок державного бюджету.</w:t>
      </w:r>
    </w:p>
    <w:p w:rsidR="0053728E" w:rsidRPr="0053728E" w:rsidRDefault="0053728E" w:rsidP="0053728E">
      <w:pPr>
        <w:shd w:val="clear" w:color="auto" w:fill="FFFFFF"/>
        <w:spacing w:after="0" w:line="360" w:lineRule="auto"/>
        <w:ind w:left="10" w:right="1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53728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У фінансову систему країни входять </w:t>
      </w:r>
      <w:r w:rsidRPr="0053728E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позабюджетні фундації, </w:t>
      </w:r>
      <w:r w:rsidRPr="0053728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що 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t>знаходяться у розпорядженні центрального уряду: Фундація вирів</w:t>
      </w:r>
      <w:r w:rsidRPr="0053728E">
        <w:rPr>
          <w:rFonts w:ascii="Times New Roman" w:hAnsi="Times New Roman" w:cs="Times New Roman"/>
          <w:sz w:val="28"/>
          <w:szCs w:val="28"/>
          <w:lang w:val="uk-UA"/>
        </w:rPr>
        <w:softHyphen/>
        <w:t>нювання тягаря війни, Фундація розвитку європейської економіки та інші цільові фундації. Кошти інших спеціальних фундацій ФРН можуть бути використані урядом для надання допомоги приватному господарству в періоди економічних труднощів.</w:t>
      </w:r>
    </w:p>
    <w:p w:rsidR="0053728E" w:rsidRDefault="0053728E" w:rsidP="0053728E">
      <w:pPr>
        <w:shd w:val="clear" w:color="auto" w:fill="FFFFFF"/>
        <w:spacing w:before="5" w:line="221" w:lineRule="exact"/>
        <w:ind w:right="62" w:firstLine="245"/>
        <w:jc w:val="both"/>
      </w:pPr>
    </w:p>
    <w:p w:rsidR="009C5C95" w:rsidRDefault="009C5C95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3728E" w:rsidRPr="0053728E" w:rsidRDefault="0053728E" w:rsidP="0053728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28E">
        <w:rPr>
          <w:rFonts w:ascii="Times New Roman" w:hAnsi="Times New Roman" w:cs="Times New Roman"/>
          <w:b/>
          <w:sz w:val="28"/>
          <w:szCs w:val="28"/>
          <w:lang w:val="uk-UA"/>
        </w:rPr>
        <w:t>Податкова система Німеччини та її особливості.</w:t>
      </w:r>
    </w:p>
    <w:p w:rsidR="00A91F83" w:rsidRPr="00A91F83" w:rsidRDefault="00A91F83" w:rsidP="00A91F8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83">
        <w:rPr>
          <w:rFonts w:ascii="Times New Roman" w:hAnsi="Times New Roman" w:cs="Times New Roman"/>
          <w:sz w:val="28"/>
          <w:szCs w:val="28"/>
          <w:lang w:val="uk-UA"/>
        </w:rPr>
        <w:t>Загалом же, всі податки Німеччині можна розділити на три основні групи:</w:t>
      </w:r>
    </w:p>
    <w:p w:rsidR="00A91F83" w:rsidRPr="00A91F83" w:rsidRDefault="00A91F83" w:rsidP="00A91F8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83">
        <w:rPr>
          <w:rFonts w:ascii="Times New Roman" w:hAnsi="Times New Roman" w:cs="Times New Roman"/>
          <w:sz w:val="28"/>
          <w:szCs w:val="28"/>
          <w:lang w:val="uk-UA"/>
        </w:rPr>
        <w:t>1.Податки на доходи - прибутковий податок з фізичних осіб – Einkommensteuer;  податок на прибуток підприємств – Körperschaftsteuer; податок на господарську діяльність – Gewerbesteuer.</w:t>
      </w:r>
    </w:p>
    <w:p w:rsidR="00A91F83" w:rsidRPr="00A91F83" w:rsidRDefault="00A91F83" w:rsidP="00A91F8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83">
        <w:rPr>
          <w:rFonts w:ascii="Times New Roman" w:hAnsi="Times New Roman" w:cs="Times New Roman"/>
          <w:sz w:val="28"/>
          <w:szCs w:val="28"/>
          <w:lang w:val="uk-UA"/>
        </w:rPr>
        <w:t>2. Податки на майно - податок на землю – Grundsteuer; податки на дарування та спадок.</w:t>
      </w:r>
    </w:p>
    <w:p w:rsidR="00A91F83" w:rsidRPr="00A91F83" w:rsidRDefault="00A91F83" w:rsidP="00A91F8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83">
        <w:rPr>
          <w:rFonts w:ascii="Times New Roman" w:hAnsi="Times New Roman" w:cs="Times New Roman"/>
          <w:sz w:val="28"/>
          <w:szCs w:val="28"/>
          <w:lang w:val="uk-UA"/>
        </w:rPr>
        <w:t>3. Податки на операції і споживання -  податок на придбання майна; ПДВ.</w:t>
      </w:r>
    </w:p>
    <w:p w:rsidR="00A91F83" w:rsidRDefault="00D526CE" w:rsidP="001C2BE8">
      <w:pPr>
        <w:shd w:val="clear" w:color="auto" w:fill="FFFFFF"/>
        <w:spacing w:after="0" w:line="360" w:lineRule="auto"/>
        <w:ind w:right="58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Податкова система ФРН спирається перш за все на </w:t>
      </w:r>
      <w:r w:rsidRPr="007B5B56">
        <w:rPr>
          <w:rFonts w:ascii="Times New Roman" w:hAnsi="Times New Roman" w:cs="Times New Roman"/>
          <w:i/>
          <w:sz w:val="28"/>
          <w:szCs w:val="28"/>
          <w:lang w:val="uk-UA"/>
        </w:rPr>
        <w:t>прибутковий податок.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Частка прибуткового податку перевищує 1/3 загальної суми податкових надходжень. Даним податком обкладаються всі громадя</w:t>
      </w:r>
      <w:r w:rsidRPr="001C2BE8">
        <w:rPr>
          <w:rFonts w:ascii="Times New Roman" w:hAnsi="Times New Roman" w:cs="Times New Roman"/>
          <w:spacing w:val="-1"/>
          <w:sz w:val="28"/>
          <w:szCs w:val="28"/>
        </w:rPr>
        <w:t xml:space="preserve">ни, 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які мають дохід. </w:t>
      </w:r>
      <w:r w:rsidR="00A91F8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Податок сплачується з таких видів доходу: доходи від комерційної діяльності; доходи від капіталу; рентні доходи; доходи від сільського та лісового господарства; заробітна плата; доходи від діяльності нотаріусов, адвокатів, аудиторів, перекладачів тощо.</w:t>
      </w:r>
      <w:r w:rsidR="007B5B5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</w:p>
    <w:p w:rsidR="007B5B56" w:rsidRDefault="00D526CE" w:rsidP="001C2BE8">
      <w:pPr>
        <w:shd w:val="clear" w:color="auto" w:fill="FFFFFF"/>
        <w:spacing w:after="0" w:line="36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Прибутковий податок включає два види податку: </w:t>
      </w:r>
      <w:r w:rsidRPr="001C2BE8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податок на заробітну плату і податок з капіталу. </w:t>
      </w:r>
      <w:r w:rsidRPr="001C2BE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Мінімальна ставка 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прибуткового податку — 1</w:t>
      </w:r>
      <w:r w:rsidR="007B5B56">
        <w:rPr>
          <w:rFonts w:ascii="Times New Roman" w:hAnsi="Times New Roman" w:cs="Times New Roman"/>
          <w:spacing w:val="-1"/>
          <w:sz w:val="28"/>
          <w:szCs w:val="28"/>
          <w:lang w:val="uk-UA"/>
        </w:rPr>
        <w:t>4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>%</w:t>
      </w:r>
      <w:r w:rsidR="007B5B5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(від 800</w:t>
      </w:r>
      <w:r w:rsidR="00B43FF6">
        <w:rPr>
          <w:rFonts w:ascii="Times New Roman" w:hAnsi="Times New Roman" w:cs="Times New Roman"/>
          <w:spacing w:val="-1"/>
          <w:sz w:val="28"/>
          <w:szCs w:val="28"/>
          <w:lang w:val="uk-UA"/>
        </w:rPr>
        <w:t>4</w:t>
      </w:r>
      <w:r w:rsidR="007B5B5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євро на рік)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максимальна — </w:t>
      </w:r>
      <w:r w:rsidR="007B5B56">
        <w:rPr>
          <w:rFonts w:ascii="Times New Roman" w:hAnsi="Times New Roman" w:cs="Times New Roman"/>
          <w:spacing w:val="-1"/>
          <w:sz w:val="28"/>
          <w:szCs w:val="28"/>
          <w:lang w:val="uk-UA"/>
        </w:rPr>
        <w:t>45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>%</w:t>
      </w:r>
      <w:r w:rsidR="007B5B5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(доходи від 250 тис. євро на рік)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5B56">
        <w:rPr>
          <w:rFonts w:ascii="Times New Roman" w:hAnsi="Times New Roman" w:cs="Times New Roman"/>
          <w:sz w:val="28"/>
          <w:szCs w:val="28"/>
          <w:lang w:val="uk-UA"/>
        </w:rPr>
        <w:t xml:space="preserve">Доходи до 8004 євро на рік податком не обкладаються. 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Ставка податку на доходи з капіталу — 2</w:t>
      </w:r>
      <w:r w:rsidR="007B5B56">
        <w:rPr>
          <w:rFonts w:ascii="Times New Roman" w:hAnsi="Times New Roman" w:cs="Times New Roman"/>
          <w:sz w:val="28"/>
          <w:szCs w:val="28"/>
          <w:lang w:val="uk-UA"/>
        </w:rPr>
        <w:t>6,375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Помайновим податком 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або податком на власність оподатковується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майно фізичних і юридичних осіб. Податок стягується з сумарної оцінки всіх елементів рухомого і нерухомого майна, що приносить прибуток. Ставка для фізичних осіб — </w:t>
      </w:r>
      <w:r w:rsidR="00B43FF6">
        <w:rPr>
          <w:rFonts w:ascii="Times New Roman" w:hAnsi="Times New Roman" w:cs="Times New Roman"/>
          <w:sz w:val="28"/>
          <w:szCs w:val="28"/>
          <w:lang w:val="uk-UA"/>
        </w:rPr>
        <w:t>1,0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B43FF6">
        <w:rPr>
          <w:rFonts w:ascii="Times New Roman" w:hAnsi="Times New Roman" w:cs="Times New Roman"/>
          <w:sz w:val="28"/>
          <w:szCs w:val="28"/>
          <w:lang w:val="uk-UA"/>
        </w:rPr>
        <w:t xml:space="preserve"> (майно вартістю до 120 тис. євро не обкладається)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, для юридичних осіб — 0,6%</w:t>
      </w:r>
      <w:r w:rsidR="00B43FF6">
        <w:rPr>
          <w:rFonts w:ascii="Times New Roman" w:hAnsi="Times New Roman" w:cs="Times New Roman"/>
          <w:sz w:val="28"/>
          <w:szCs w:val="28"/>
          <w:lang w:val="uk-UA"/>
        </w:rPr>
        <w:t xml:space="preserve"> (майно вартістю до 20 тис. євро не обкладається)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FF6" w:rsidRDefault="00D526CE" w:rsidP="001C2BE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Обкладення юридичних осіб проводиться за допомогою 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податку на корпорації.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Ставка податку на корпорації </w:t>
      </w:r>
      <w:r w:rsidR="00B43FF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43FF6">
        <w:rPr>
          <w:rFonts w:ascii="Times New Roman" w:hAnsi="Times New Roman" w:cs="Times New Roman"/>
          <w:spacing w:val="-1"/>
          <w:sz w:val="28"/>
          <w:szCs w:val="28"/>
          <w:lang w:val="uk-UA"/>
        </w:rPr>
        <w:t>15,825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%. </w:t>
      </w:r>
    </w:p>
    <w:p w:rsidR="006625B2" w:rsidRDefault="00D526CE" w:rsidP="001C2BE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Промисловим </w:t>
      </w:r>
      <w:r w:rsidRPr="001C2BE8">
        <w:rPr>
          <w:rFonts w:ascii="Times New Roman" w:hAnsi="Times New Roman" w:cs="Times New Roman"/>
          <w:i/>
          <w:spacing w:val="-5"/>
          <w:sz w:val="28"/>
          <w:szCs w:val="28"/>
          <w:lang w:val="uk-UA"/>
        </w:rPr>
        <w:t xml:space="preserve">податком </w:t>
      </w:r>
      <w:r w:rsidRPr="001C2BE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обкладаються не результати діяльності фізичних і юридичних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осіб, а капітал і доходи підприємства як господарюючого суб'єкта. Промисловий податок стягується при розподілі прибутку до сплати корпоративного податку. Справляння податку здійснюється за 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>ставками</w:t>
      </w:r>
      <w:r w:rsidR="006625B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від 14% до 17,15% в залежності від того, на якій території розташовано підприємство.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Поземельним податком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обкладаються земельні ділянки підпри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>ємств, лісове господарство, сільськогосподарські угіддя. Діапазон ста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вок цього податку коливається від 0,6% до 3,1%.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Податок па транспортні засоби 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сплачують власники мотоциклів,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легкових і вантажних автомобілів. Принцип справляння податку: об'єм двигуна для мотоциклів і легкових автомобілів, загальна вага автомобілів — для вантажних.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625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непрямих податків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у ФРН відносять податок на додану вар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тість, земельний податок, податок з обороту, індивідуальні акцизи (на нафтопродукти, тютюн, каву), податок з обороту імпорту, фіс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кальна монополія і митні збори. ПДВ займає головне місце серед непрямих податків. На його частку припадає близько 43% всіх неп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рямих податкових надходжень в країні.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Податком на додану вартість </w:t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обкладається кінцевий споживач у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приватній і державній сфері споживання товарів і послуг. Застосо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ву</w:t>
      </w:r>
      <w:r w:rsidR="006625B2">
        <w:rPr>
          <w:rFonts w:ascii="Times New Roman" w:hAnsi="Times New Roman" w:cs="Times New Roman"/>
          <w:sz w:val="28"/>
          <w:szCs w:val="28"/>
          <w:lang w:val="uk-UA"/>
        </w:rPr>
        <w:t>ються дві ставки ПДВ: загальна -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25B2">
        <w:rPr>
          <w:rFonts w:ascii="Times New Roman" w:hAnsi="Times New Roman" w:cs="Times New Roman"/>
          <w:sz w:val="28"/>
          <w:szCs w:val="28"/>
          <w:lang w:val="uk-UA"/>
        </w:rPr>
        <w:t>9%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 і пільгова</w:t>
      </w:r>
      <w:r w:rsidR="006625B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7%</w:t>
      </w:r>
      <w:r w:rsidR="006625B2">
        <w:rPr>
          <w:rFonts w:ascii="Times New Roman" w:hAnsi="Times New Roman" w:cs="Times New Roman"/>
          <w:sz w:val="28"/>
          <w:szCs w:val="28"/>
          <w:lang w:val="uk-UA"/>
        </w:rPr>
        <w:t xml:space="preserve"> ( для продуктів харчування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Крім ПДВ ряд товарів обкладається 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індивідуальними акцизами.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Ці акцизи називаються у ФРН податками на споживання і є другою групою непрямих податків у країні. Питома вага податків на спожи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вання в загальній сумі непрямих податків перевищує 40%.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До числа важливих непрямих податків відносяться і </w:t>
      </w:r>
      <w:r w:rsidRPr="003B58F1">
        <w:rPr>
          <w:rFonts w:ascii="Times New Roman" w:hAnsi="Times New Roman" w:cs="Times New Roman"/>
          <w:i/>
          <w:sz w:val="28"/>
          <w:szCs w:val="28"/>
          <w:lang w:val="uk-UA"/>
        </w:rPr>
        <w:t>митні збори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. Ними обкладаються як імпортні, так і експортні товари. Питома вага митних зборів у загальній сумі податкових надходжень стано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вить близько 3%.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 ФРН існує так званий 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імпортний податок.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Ним обкладаються товари, що ввозяться, які мають експортні пільги в країнах, де вони виробляються.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Визнання разом з податками таких платежів, як мито, є традицій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ним для німецького права. Мито стягується за індивідуальне корис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тування державними послугами або установами, збори — за надання можливостей організації, яка виражає інтереси певної групи.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Обов'язковим загальнодержавним податком є 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церковний податок.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Встановлюючи церковний податок як обов'язковий, центральний уряд заручився підтримкою католицької церкви.</w:t>
      </w:r>
      <w:r w:rsidR="003B58F1">
        <w:rPr>
          <w:rFonts w:ascii="Times New Roman" w:hAnsi="Times New Roman" w:cs="Times New Roman"/>
          <w:sz w:val="28"/>
          <w:szCs w:val="28"/>
          <w:lang w:val="uk-UA"/>
        </w:rPr>
        <w:t xml:space="preserve"> Ставка церковного податку становить від 8 до 9% </w:t>
      </w:r>
      <w:r w:rsidR="00B24856">
        <w:rPr>
          <w:rFonts w:ascii="Times New Roman" w:hAnsi="Times New Roman" w:cs="Times New Roman"/>
          <w:sz w:val="28"/>
          <w:szCs w:val="28"/>
          <w:lang w:val="uk-UA"/>
        </w:rPr>
        <w:t>від суми річного прибуткового податку</w:t>
      </w:r>
      <w:r w:rsidR="00052B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2B83" w:rsidRPr="001C2BE8">
        <w:rPr>
          <w:rFonts w:ascii="Times New Roman" w:hAnsi="Times New Roman" w:cs="Times New Roman"/>
          <w:sz w:val="28"/>
          <w:szCs w:val="28"/>
          <w:lang w:val="uk-UA"/>
        </w:rPr>
        <w:t>кошти від якого церква використовує на утримання належних їй шкіл, ди</w:t>
      </w:r>
      <w:r w:rsidR="00052B83"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тячих садочків, будинків ветеранів.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Турбота про збереження природного незаселеного середовища спричинила введення «екологічного податку», який, по-суті, є добав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кою до поземельного податку.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b/>
          <w:sz w:val="28"/>
          <w:szCs w:val="28"/>
          <w:lang w:val="uk-UA"/>
        </w:rPr>
        <w:t>Податкова система земель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налічує близько 25 податків. Землі одержують податки на майно, на спадщину, податок, який стягується при придбанні земельної ділянки, податок на автомобілі, на пиво, на проведення лотерей, скачок і від ігрових закладів, податок на пожеж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1C2BE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ну охорону. Ці податки дають понад 85% всіх податкових надходжень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земель. Велику питому вагу займають платежі по соціальному стра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хуванню, що включають внески на медичне і пенсійне страхування і страхування по безробіттю.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Общини одержують промисловий, поземельний податок і місцеві податки (на собак, на охорону і рибалку, на друге житло тощо). Поземельним податком обкладаються сільськогосподарські і лісові підприємства, а також земельні ділянки. Податок зачіпає широкі верстви населення і стягується з отримуваного доходу в розмірі 1-2%.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В дохід бюджетів общин надходять різні адміністративні збори і доходи від місцевих ліцензій. До доходів від місцевого господарства відносяться доходи від муніципальних будинків, водопостачання, га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зових заводів, електростанцій, мостів.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Проте витрати земель і общин жодною мірою не забезпечуються надходженнями податків. Для фінансування витрат місцевих бюджетів земель і общин вони одержують від федерального уряду 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t>дота</w:t>
      </w:r>
      <w:r w:rsidRPr="001C2BE8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 xml:space="preserve">ції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— цільові і загальні.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До основних податків земель можна віднести такі.</w:t>
      </w:r>
    </w:p>
    <w:p w:rsidR="00D526CE" w:rsidRPr="001C2BE8" w:rsidRDefault="00D526CE" w:rsidP="001C2BE8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spacing w:after="0" w:line="360" w:lineRule="auto"/>
        <w:ind w:right="29" w:firstLine="709"/>
        <w:jc w:val="both"/>
        <w:rPr>
          <w:rFonts w:ascii="Times New Roman" w:hAnsi="Times New Roman" w:cs="Times New Roman"/>
          <w:spacing w:val="-22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Найбільший податок — податок з власників транспортних засо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бів. </w:t>
      </w:r>
    </w:p>
    <w:p w:rsidR="00D526CE" w:rsidRPr="001C2BE8" w:rsidRDefault="00D526CE" w:rsidP="001C2BE8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spacing w:after="0" w:line="360" w:lineRule="auto"/>
        <w:ind w:right="19" w:firstLine="709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майно (береться з сільськогосподарського майна та лісових угідь, з землі, виробничого та іншого майна (банків, приват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ного акціонерного капіталу тощо).</w:t>
      </w:r>
    </w:p>
    <w:p w:rsidR="00D526CE" w:rsidRPr="001C2BE8" w:rsidRDefault="00D526CE" w:rsidP="001C2BE8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spacing w:after="0" w:line="360" w:lineRule="auto"/>
        <w:ind w:right="19"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Податок на спадщину (ставка коливається у розмірах від </w:t>
      </w:r>
      <w:r w:rsidR="003B634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% до 3</w:t>
      </w:r>
      <w:r w:rsidR="003B63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% для дружини (чоловіка) і дітей, та від </w:t>
      </w:r>
      <w:r w:rsidR="003B63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0 до </w:t>
      </w:r>
      <w:r w:rsidR="003B63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0% для інших осіб).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До податків громад належать такі.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з підприємств.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землю</w:t>
      </w:r>
      <w:r w:rsidR="00865D1A">
        <w:rPr>
          <w:rFonts w:ascii="Times New Roman" w:hAnsi="Times New Roman" w:cs="Times New Roman"/>
          <w:sz w:val="28"/>
          <w:szCs w:val="28"/>
          <w:lang w:val="uk-UA"/>
        </w:rPr>
        <w:t xml:space="preserve"> (ставка 1,2%)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пожежні дружини.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заклади відпочинку і розваг.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собак.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кіно.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полювання і рибальство.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напої.</w:t>
      </w:r>
    </w:p>
    <w:p w:rsidR="00D526CE" w:rsidRPr="001C2BE8" w:rsidRDefault="00D526CE" w:rsidP="001C2BE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парі у кінних перегонах (скачках).</w:t>
      </w:r>
    </w:p>
    <w:p w:rsidR="00D526CE" w:rsidRPr="001C2BE8" w:rsidRDefault="00D526CE" w:rsidP="001C2BE8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Податок на розлив алкогольних напоїв.</w:t>
      </w:r>
    </w:p>
    <w:p w:rsidR="00D526CE" w:rsidRPr="001C2BE8" w:rsidRDefault="00D526CE" w:rsidP="001C2BE8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spacing w:after="0" w:line="360" w:lineRule="auto"/>
        <w:ind w:right="10" w:firstLine="709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Церковний податок</w:t>
      </w:r>
      <w:r w:rsidR="00052B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Розподіл загальної суми податкових надходжень відбувається таким чином:</w:t>
      </w:r>
    </w:p>
    <w:p w:rsidR="00D526CE" w:rsidRPr="001C2BE8" w:rsidRDefault="00D526CE" w:rsidP="001C2BE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Федерації - 47,5%;</w:t>
      </w:r>
    </w:p>
    <w:p w:rsidR="00D526CE" w:rsidRPr="001C2BE8" w:rsidRDefault="00D526CE" w:rsidP="001C2BE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Землям - 34,8%;</w:t>
      </w:r>
    </w:p>
    <w:p w:rsidR="00D526CE" w:rsidRPr="001C2BE8" w:rsidRDefault="00D526CE" w:rsidP="001C2BE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pacing w:val="-3"/>
          <w:sz w:val="28"/>
          <w:szCs w:val="28"/>
          <w:lang w:val="uk-UA"/>
        </w:rPr>
        <w:t>Громадам — 12,8%;</w:t>
      </w:r>
    </w:p>
    <w:p w:rsidR="00D526CE" w:rsidRPr="001C2BE8" w:rsidRDefault="00D526CE" w:rsidP="001C2BE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ЄС - 4,8%.</w:t>
      </w:r>
    </w:p>
    <w:p w:rsidR="00D526CE" w:rsidRPr="00B24856" w:rsidRDefault="00D526CE" w:rsidP="00B24856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56">
        <w:rPr>
          <w:rFonts w:ascii="Times New Roman" w:hAnsi="Times New Roman" w:cs="Times New Roman"/>
          <w:b/>
          <w:spacing w:val="-14"/>
          <w:sz w:val="28"/>
          <w:szCs w:val="28"/>
          <w:lang w:val="uk-UA"/>
        </w:rPr>
        <w:t xml:space="preserve">Особливості структури та діяльності </w:t>
      </w:r>
      <w:r w:rsidR="00B24856" w:rsidRPr="00B24856">
        <w:rPr>
          <w:rFonts w:ascii="Times New Roman" w:hAnsi="Times New Roman" w:cs="Times New Roman"/>
          <w:b/>
          <w:sz w:val="28"/>
          <w:szCs w:val="28"/>
          <w:lang w:val="uk-UA"/>
        </w:rPr>
        <w:t>податкових органі</w:t>
      </w:r>
      <w:r w:rsidR="00EC402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24856" w:rsidRPr="00B24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4856">
        <w:rPr>
          <w:rFonts w:ascii="Times New Roman" w:hAnsi="Times New Roman" w:cs="Times New Roman"/>
          <w:b/>
          <w:sz w:val="28"/>
          <w:szCs w:val="28"/>
          <w:lang w:val="uk-UA"/>
        </w:rPr>
        <w:t>ФРН</w:t>
      </w:r>
    </w:p>
    <w:p w:rsidR="00D526CE" w:rsidRPr="00B24856" w:rsidRDefault="00D526CE" w:rsidP="001C2B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56">
        <w:rPr>
          <w:rFonts w:ascii="Times New Roman" w:hAnsi="Times New Roman" w:cs="Times New Roman"/>
          <w:b/>
          <w:sz w:val="28"/>
          <w:szCs w:val="28"/>
          <w:lang w:val="uk-UA"/>
        </w:rPr>
        <w:t>Структура податкових органів</w:t>
      </w:r>
      <w:r w:rsidR="00EC4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ФРН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Податкові інспекції входять до фінансової системи ФРН, яка має складну структуру.</w:t>
      </w:r>
    </w:p>
    <w:p w:rsidR="00D526CE" w:rsidRPr="001C2BE8" w:rsidRDefault="00D526CE" w:rsidP="001C2B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Структура управління фінансової системи ФРН включає такі еле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менти.</w:t>
      </w:r>
    </w:p>
    <w:p w:rsidR="00D526CE" w:rsidRPr="001C2BE8" w:rsidRDefault="00D526CE" w:rsidP="001C2BE8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Федеральне міністерство фінансів.</w:t>
      </w:r>
    </w:p>
    <w:p w:rsidR="00D526CE" w:rsidRPr="001C2BE8" w:rsidRDefault="00D526CE" w:rsidP="001C2BE8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Земельні міністерства фінансів.</w:t>
      </w:r>
    </w:p>
    <w:p w:rsidR="00D526CE" w:rsidRPr="001C2BE8" w:rsidRDefault="00D526CE" w:rsidP="001C2BE8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У кожній землі є Верховна фінансова дирекція (головне фінан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сове управління), яка підпорядкована одночасно і федеральному, і земельному міністерствам фінансів.</w:t>
      </w:r>
    </w:p>
    <w:p w:rsidR="00D526CE" w:rsidRPr="001C2BE8" w:rsidRDefault="00D526CE" w:rsidP="001C2BE8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Верховній фінансовій дирекції підпорядковані податкові інспек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ції і митні органи. Як правило, в податкових інспекціях працює </w:t>
      </w:r>
      <w:r w:rsidRPr="0060699D">
        <w:rPr>
          <w:rFonts w:ascii="Times New Roman" w:hAnsi="Times New Roman" w:cs="Times New Roman"/>
          <w:sz w:val="28"/>
          <w:szCs w:val="28"/>
          <w:lang w:val="uk-UA"/>
        </w:rPr>
        <w:t>від 100</w:t>
      </w:r>
      <w:r w:rsidRPr="001C2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до 300 чоловіків.</w:t>
      </w:r>
    </w:p>
    <w:p w:rsidR="00D526CE" w:rsidRPr="001C2BE8" w:rsidRDefault="00D526CE" w:rsidP="001C2BE8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spacing w:after="0" w:line="360" w:lineRule="auto"/>
        <w:ind w:right="14" w:firstLine="709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 xml:space="preserve">У громадах (на які поділяються землі) є податкові відділки, </w:t>
      </w:r>
      <w:r w:rsidRPr="001C2BE8">
        <w:rPr>
          <w:rFonts w:ascii="Times New Roman" w:hAnsi="Times New Roman" w:cs="Times New Roman"/>
          <w:spacing w:val="-3"/>
          <w:sz w:val="28"/>
          <w:szCs w:val="28"/>
          <w:lang w:val="uk-UA"/>
        </w:rPr>
        <w:t>кількість працівників у них визначається так: 1 співробітник на 600 жи</w:t>
      </w:r>
      <w:r w:rsidRPr="001C2BE8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t>телів району.</w:t>
      </w:r>
    </w:p>
    <w:p w:rsidR="001C2BE8" w:rsidRPr="0060699D" w:rsidRDefault="001C2BE8" w:rsidP="00EC402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Взаємодія податкової служби </w:t>
      </w:r>
      <w:r w:rsidRPr="0060699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60699D">
        <w:rPr>
          <w:rFonts w:ascii="Times New Roman" w:hAnsi="Times New Roman" w:cs="Times New Roman"/>
          <w:b/>
          <w:sz w:val="28"/>
          <w:szCs w:val="28"/>
          <w:lang w:val="uk-UA"/>
        </w:rPr>
        <w:t>іншими державними структурами</w:t>
      </w:r>
    </w:p>
    <w:p w:rsidR="001C2BE8" w:rsidRPr="001C2BE8" w:rsidRDefault="001C2BE8" w:rsidP="001C2BE8">
      <w:pPr>
        <w:shd w:val="clear" w:color="auto" w:fill="FFFFFF"/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Органи фінансового розшуку працюють у тісному контакті з кри</w:t>
      </w:r>
      <w:r w:rsidRPr="001C2BE8">
        <w:rPr>
          <w:rFonts w:ascii="Times New Roman" w:hAnsi="Times New Roman" w:cs="Times New Roman"/>
          <w:sz w:val="28"/>
          <w:szCs w:val="28"/>
          <w:lang w:val="uk-UA"/>
        </w:rPr>
        <w:softHyphen/>
        <w:t>мінальною поліцією і прокуратурою. Ці органи можуть проводити розслідування як за запитами останніх, так і за власною ініціативою.</w:t>
      </w:r>
    </w:p>
    <w:p w:rsidR="001C2BE8" w:rsidRPr="001C2BE8" w:rsidRDefault="001C2BE8" w:rsidP="001C2BE8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E8">
        <w:rPr>
          <w:rFonts w:ascii="Times New Roman" w:hAnsi="Times New Roman" w:cs="Times New Roman"/>
          <w:sz w:val="28"/>
          <w:szCs w:val="28"/>
          <w:lang w:val="uk-UA"/>
        </w:rPr>
        <w:t>Співробітники фінансового розшуку беруть участь у слідчих діях по кримінальних справах, якщо вони відносяться до порушень у сфері оподаткування.</w:t>
      </w:r>
    </w:p>
    <w:p w:rsidR="001C2BE8" w:rsidRPr="001C2BE8" w:rsidRDefault="001C2BE8" w:rsidP="00D526C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6E9" w:rsidRDefault="009156E9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17FA" w:rsidRDefault="007E17FA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17FA" w:rsidRDefault="007E17FA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52B83" w:rsidRDefault="00052B83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52B83" w:rsidRDefault="00052B83" w:rsidP="00F117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11777" w:rsidRPr="00F11777" w:rsidRDefault="00F11777" w:rsidP="00F117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F11777" w:rsidRPr="00F11777" w:rsidSect="00C124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15" w:rsidRDefault="004F0715" w:rsidP="00D80340">
      <w:pPr>
        <w:spacing w:after="0" w:line="240" w:lineRule="auto"/>
      </w:pPr>
      <w:r>
        <w:separator/>
      </w:r>
    </w:p>
  </w:endnote>
  <w:endnote w:type="continuationSeparator" w:id="1">
    <w:p w:rsidR="004F0715" w:rsidRDefault="004F0715" w:rsidP="00D8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15" w:rsidRDefault="004F0715" w:rsidP="00D80340">
      <w:pPr>
        <w:spacing w:after="0" w:line="240" w:lineRule="auto"/>
      </w:pPr>
      <w:r>
        <w:separator/>
      </w:r>
    </w:p>
  </w:footnote>
  <w:footnote w:type="continuationSeparator" w:id="1">
    <w:p w:rsidR="004F0715" w:rsidRDefault="004F0715" w:rsidP="00D8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47"/>
      <w:docPartObj>
        <w:docPartGallery w:val="Page Numbers (Top of Page)"/>
        <w:docPartUnique/>
      </w:docPartObj>
    </w:sdtPr>
    <w:sdtContent>
      <w:p w:rsidR="003B58F1" w:rsidRDefault="00245AE5">
        <w:pPr>
          <w:pStyle w:val="a5"/>
          <w:jc w:val="right"/>
        </w:pPr>
        <w:fldSimple w:instr=" PAGE   \* MERGEFORMAT ">
          <w:r w:rsidR="00BB689D">
            <w:rPr>
              <w:noProof/>
            </w:rPr>
            <w:t>20</w:t>
          </w:r>
        </w:fldSimple>
      </w:p>
    </w:sdtContent>
  </w:sdt>
  <w:p w:rsidR="003B58F1" w:rsidRDefault="003B58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1945CF"/>
    <w:multiLevelType w:val="hybridMultilevel"/>
    <w:tmpl w:val="C706B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003D1"/>
    <w:multiLevelType w:val="singleLevel"/>
    <w:tmpl w:val="1D40626A"/>
    <w:lvl w:ilvl="0">
      <w:start w:val="3"/>
      <w:numFmt w:val="decimal"/>
      <w:lvlText w:val="%1)"/>
      <w:legacy w:legacy="1" w:legacySpace="0" w:legacyIndent="283"/>
      <w:lvlJc w:val="left"/>
      <w:rPr>
        <w:rFonts w:ascii="Courier New" w:hAnsi="Courier New" w:hint="default"/>
      </w:rPr>
    </w:lvl>
  </w:abstractNum>
  <w:abstractNum w:abstractNumId="3">
    <w:nsid w:val="167B2693"/>
    <w:multiLevelType w:val="hybridMultilevel"/>
    <w:tmpl w:val="6A20EC06"/>
    <w:lvl w:ilvl="0" w:tplc="B478D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F4E78"/>
    <w:multiLevelType w:val="singleLevel"/>
    <w:tmpl w:val="2DAC6D0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5">
    <w:nsid w:val="1DC30273"/>
    <w:multiLevelType w:val="singleLevel"/>
    <w:tmpl w:val="4AE8241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6">
    <w:nsid w:val="25D7736B"/>
    <w:multiLevelType w:val="singleLevel"/>
    <w:tmpl w:val="4ABA424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7">
    <w:nsid w:val="31606A9D"/>
    <w:multiLevelType w:val="hybridMultilevel"/>
    <w:tmpl w:val="F3AA498A"/>
    <w:lvl w:ilvl="0" w:tplc="F80ED37C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6C7DCC"/>
    <w:multiLevelType w:val="hybridMultilevel"/>
    <w:tmpl w:val="9C66970C"/>
    <w:lvl w:ilvl="0" w:tplc="C08AF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60B61"/>
    <w:multiLevelType w:val="singleLevel"/>
    <w:tmpl w:val="BE6001C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0">
    <w:nsid w:val="3B060AB4"/>
    <w:multiLevelType w:val="singleLevel"/>
    <w:tmpl w:val="3B2C967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1">
    <w:nsid w:val="4FAF4310"/>
    <w:multiLevelType w:val="multilevel"/>
    <w:tmpl w:val="D850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97A6D"/>
    <w:multiLevelType w:val="singleLevel"/>
    <w:tmpl w:val="12E0992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3">
    <w:nsid w:val="65FB0F68"/>
    <w:multiLevelType w:val="hybridMultilevel"/>
    <w:tmpl w:val="71FE8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1808EB"/>
    <w:multiLevelType w:val="hybridMultilevel"/>
    <w:tmpl w:val="7DA0C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297AD6"/>
    <w:multiLevelType w:val="singleLevel"/>
    <w:tmpl w:val="26C238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6">
    <w:nsid w:val="7C3A04E1"/>
    <w:multiLevelType w:val="hybridMultilevel"/>
    <w:tmpl w:val="B85055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E743B"/>
    <w:multiLevelType w:val="hybridMultilevel"/>
    <w:tmpl w:val="0F5C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2609C"/>
    <w:multiLevelType w:val="hybridMultilevel"/>
    <w:tmpl w:val="A9B2BED4"/>
    <w:lvl w:ilvl="0" w:tplc="6742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4"/>
  </w:num>
  <w:num w:numId="16">
    <w:abstractNumId w:val="9"/>
  </w:num>
  <w:num w:numId="17">
    <w:abstractNumId w:val="2"/>
  </w:num>
  <w:num w:numId="18">
    <w:abstractNumId w:val="2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962"/>
    <w:rsid w:val="00015B72"/>
    <w:rsid w:val="00017962"/>
    <w:rsid w:val="000317F9"/>
    <w:rsid w:val="00052B83"/>
    <w:rsid w:val="00065270"/>
    <w:rsid w:val="00070316"/>
    <w:rsid w:val="00075ABA"/>
    <w:rsid w:val="00083FCD"/>
    <w:rsid w:val="000C7A29"/>
    <w:rsid w:val="000F268C"/>
    <w:rsid w:val="000F5BA4"/>
    <w:rsid w:val="0010259F"/>
    <w:rsid w:val="001077A9"/>
    <w:rsid w:val="001255B8"/>
    <w:rsid w:val="00151298"/>
    <w:rsid w:val="00153DBD"/>
    <w:rsid w:val="00154530"/>
    <w:rsid w:val="00157B11"/>
    <w:rsid w:val="00157CA0"/>
    <w:rsid w:val="0016484E"/>
    <w:rsid w:val="001B7C01"/>
    <w:rsid w:val="001C2BE8"/>
    <w:rsid w:val="0021419C"/>
    <w:rsid w:val="002433FA"/>
    <w:rsid w:val="00245AE5"/>
    <w:rsid w:val="002551F7"/>
    <w:rsid w:val="00275517"/>
    <w:rsid w:val="002865C9"/>
    <w:rsid w:val="00294EE9"/>
    <w:rsid w:val="002B74E4"/>
    <w:rsid w:val="002C167B"/>
    <w:rsid w:val="002C3781"/>
    <w:rsid w:val="002C37DC"/>
    <w:rsid w:val="002F05E2"/>
    <w:rsid w:val="00300099"/>
    <w:rsid w:val="00305A26"/>
    <w:rsid w:val="00325376"/>
    <w:rsid w:val="003340DA"/>
    <w:rsid w:val="0035413E"/>
    <w:rsid w:val="00360F5C"/>
    <w:rsid w:val="00366BCE"/>
    <w:rsid w:val="003B58F1"/>
    <w:rsid w:val="003B6346"/>
    <w:rsid w:val="003D5EFE"/>
    <w:rsid w:val="003E06DD"/>
    <w:rsid w:val="00421E88"/>
    <w:rsid w:val="00422027"/>
    <w:rsid w:val="00477819"/>
    <w:rsid w:val="00481750"/>
    <w:rsid w:val="00486363"/>
    <w:rsid w:val="00491354"/>
    <w:rsid w:val="004A35EF"/>
    <w:rsid w:val="004A5E86"/>
    <w:rsid w:val="004B3893"/>
    <w:rsid w:val="004C276F"/>
    <w:rsid w:val="004F0715"/>
    <w:rsid w:val="004F4842"/>
    <w:rsid w:val="00500EC0"/>
    <w:rsid w:val="00526626"/>
    <w:rsid w:val="0053728E"/>
    <w:rsid w:val="005401EA"/>
    <w:rsid w:val="00560E90"/>
    <w:rsid w:val="00561C75"/>
    <w:rsid w:val="005A4958"/>
    <w:rsid w:val="005B2BB8"/>
    <w:rsid w:val="00604208"/>
    <w:rsid w:val="0060699D"/>
    <w:rsid w:val="006206B7"/>
    <w:rsid w:val="006244A0"/>
    <w:rsid w:val="006625B2"/>
    <w:rsid w:val="00663C05"/>
    <w:rsid w:val="00663F26"/>
    <w:rsid w:val="006713A8"/>
    <w:rsid w:val="0067679F"/>
    <w:rsid w:val="00693C22"/>
    <w:rsid w:val="006B02ED"/>
    <w:rsid w:val="006B71F3"/>
    <w:rsid w:val="006C7FFE"/>
    <w:rsid w:val="00735D48"/>
    <w:rsid w:val="00762BD3"/>
    <w:rsid w:val="00780BEE"/>
    <w:rsid w:val="00784494"/>
    <w:rsid w:val="007B5B56"/>
    <w:rsid w:val="007C51CA"/>
    <w:rsid w:val="007D540B"/>
    <w:rsid w:val="007E17FA"/>
    <w:rsid w:val="007E1971"/>
    <w:rsid w:val="007E4FBD"/>
    <w:rsid w:val="0081672A"/>
    <w:rsid w:val="00820CAC"/>
    <w:rsid w:val="00823FBF"/>
    <w:rsid w:val="00836B91"/>
    <w:rsid w:val="008625A6"/>
    <w:rsid w:val="00865D1A"/>
    <w:rsid w:val="00875CE4"/>
    <w:rsid w:val="00883D98"/>
    <w:rsid w:val="0089299F"/>
    <w:rsid w:val="008B0900"/>
    <w:rsid w:val="008B3A72"/>
    <w:rsid w:val="00901805"/>
    <w:rsid w:val="00903A75"/>
    <w:rsid w:val="00914A1F"/>
    <w:rsid w:val="009156E9"/>
    <w:rsid w:val="00920DBD"/>
    <w:rsid w:val="00944CCF"/>
    <w:rsid w:val="00960A19"/>
    <w:rsid w:val="00970E24"/>
    <w:rsid w:val="00994EFE"/>
    <w:rsid w:val="009C5C95"/>
    <w:rsid w:val="009E1FC2"/>
    <w:rsid w:val="009F06EE"/>
    <w:rsid w:val="00A91F83"/>
    <w:rsid w:val="00AA0C83"/>
    <w:rsid w:val="00AC388F"/>
    <w:rsid w:val="00AE4890"/>
    <w:rsid w:val="00AE6D16"/>
    <w:rsid w:val="00AF2464"/>
    <w:rsid w:val="00B11048"/>
    <w:rsid w:val="00B245E2"/>
    <w:rsid w:val="00B24856"/>
    <w:rsid w:val="00B303C9"/>
    <w:rsid w:val="00B41ADE"/>
    <w:rsid w:val="00B43FF6"/>
    <w:rsid w:val="00B57FCB"/>
    <w:rsid w:val="00B73C07"/>
    <w:rsid w:val="00B91098"/>
    <w:rsid w:val="00BB03FE"/>
    <w:rsid w:val="00BB0A5E"/>
    <w:rsid w:val="00BB20DC"/>
    <w:rsid w:val="00BB689D"/>
    <w:rsid w:val="00BB7FFD"/>
    <w:rsid w:val="00BC51EC"/>
    <w:rsid w:val="00C1247B"/>
    <w:rsid w:val="00C15826"/>
    <w:rsid w:val="00C52CF7"/>
    <w:rsid w:val="00C57EBE"/>
    <w:rsid w:val="00C73924"/>
    <w:rsid w:val="00CA428F"/>
    <w:rsid w:val="00CA5CD5"/>
    <w:rsid w:val="00CA6303"/>
    <w:rsid w:val="00CD6480"/>
    <w:rsid w:val="00D03C3C"/>
    <w:rsid w:val="00D12DA3"/>
    <w:rsid w:val="00D154A5"/>
    <w:rsid w:val="00D15653"/>
    <w:rsid w:val="00D2399B"/>
    <w:rsid w:val="00D4164F"/>
    <w:rsid w:val="00D438EB"/>
    <w:rsid w:val="00D467AA"/>
    <w:rsid w:val="00D526CE"/>
    <w:rsid w:val="00D730CB"/>
    <w:rsid w:val="00D7692E"/>
    <w:rsid w:val="00D80340"/>
    <w:rsid w:val="00DA1BB1"/>
    <w:rsid w:val="00DC240A"/>
    <w:rsid w:val="00DE52E8"/>
    <w:rsid w:val="00E028DE"/>
    <w:rsid w:val="00E17A3F"/>
    <w:rsid w:val="00E41108"/>
    <w:rsid w:val="00E602CC"/>
    <w:rsid w:val="00E71825"/>
    <w:rsid w:val="00E86AA9"/>
    <w:rsid w:val="00EB211E"/>
    <w:rsid w:val="00EC402F"/>
    <w:rsid w:val="00F11777"/>
    <w:rsid w:val="00F22F91"/>
    <w:rsid w:val="00F300AA"/>
    <w:rsid w:val="00F36A69"/>
    <w:rsid w:val="00F52CCB"/>
    <w:rsid w:val="00F91A97"/>
    <w:rsid w:val="00F92CBC"/>
    <w:rsid w:val="00FA1D7D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7B"/>
  </w:style>
  <w:style w:type="paragraph" w:styleId="3">
    <w:name w:val="heading 3"/>
    <w:basedOn w:val="a"/>
    <w:link w:val="30"/>
    <w:uiPriority w:val="9"/>
    <w:qFormat/>
    <w:rsid w:val="0067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62"/>
    <w:pPr>
      <w:ind w:left="720"/>
      <w:contextualSpacing/>
    </w:pPr>
  </w:style>
  <w:style w:type="character" w:customStyle="1" w:styleId="apple-converted-space">
    <w:name w:val="apple-converted-space"/>
    <w:basedOn w:val="a0"/>
    <w:rsid w:val="00017962"/>
  </w:style>
  <w:style w:type="table" w:styleId="a4">
    <w:name w:val="Table Grid"/>
    <w:basedOn w:val="a1"/>
    <w:uiPriority w:val="59"/>
    <w:rsid w:val="00CA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340"/>
  </w:style>
  <w:style w:type="paragraph" w:styleId="a7">
    <w:name w:val="footer"/>
    <w:basedOn w:val="a"/>
    <w:link w:val="a8"/>
    <w:uiPriority w:val="99"/>
    <w:semiHidden/>
    <w:unhideWhenUsed/>
    <w:rsid w:val="00D8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340"/>
  </w:style>
  <w:style w:type="paragraph" w:styleId="a9">
    <w:name w:val="Normal (Web)"/>
    <w:basedOn w:val="a"/>
    <w:uiPriority w:val="99"/>
    <w:semiHidden/>
    <w:unhideWhenUsed/>
    <w:rsid w:val="00F9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91A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13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0C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A29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366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0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7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9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7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7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21</Pages>
  <Words>7405</Words>
  <Characters>42213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57</cp:revision>
  <dcterms:created xsi:type="dcterms:W3CDTF">2016-11-06T13:46:00Z</dcterms:created>
  <dcterms:modified xsi:type="dcterms:W3CDTF">2020-01-12T10:00:00Z</dcterms:modified>
</cp:coreProperties>
</file>