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1F54" w:rsidP="00491F54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Запитання до заліку по курсу:</w:t>
      </w:r>
    </w:p>
    <w:p w:rsidR="00491F54" w:rsidRPr="00A058D3" w:rsidRDefault="00491F54" w:rsidP="00491F54">
      <w:pPr>
        <w:pStyle w:val="a4"/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before="0" w:beforeAutospacing="0" w:after="0" w:afterAutospacing="0"/>
        <w:ind w:left="0" w:firstLine="0"/>
        <w:jc w:val="both"/>
        <w:rPr>
          <w:bCs/>
          <w:lang w:val="uk-UA"/>
        </w:rPr>
      </w:pPr>
      <w:r w:rsidRPr="00A058D3">
        <w:rPr>
          <w:lang w:val="uk-UA"/>
        </w:rPr>
        <w:t>Джерела вивчення інтелектуальної історії Європи.</w:t>
      </w:r>
      <w:r w:rsidRPr="00A058D3">
        <w:rPr>
          <w:bCs/>
          <w:lang w:val="uk-UA"/>
        </w:rPr>
        <w:t xml:space="preserve"> </w:t>
      </w:r>
    </w:p>
    <w:p w:rsidR="00491F54" w:rsidRPr="00A058D3" w:rsidRDefault="00491F54" w:rsidP="00491F54">
      <w:pPr>
        <w:pStyle w:val="a4"/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before="0" w:beforeAutospacing="0" w:after="0" w:afterAutospacing="0"/>
        <w:ind w:left="0" w:firstLine="0"/>
        <w:jc w:val="both"/>
        <w:rPr>
          <w:bCs/>
          <w:iCs/>
          <w:lang w:val="uk-UA"/>
        </w:rPr>
      </w:pPr>
      <w:r w:rsidRPr="00A058D3">
        <w:rPr>
          <w:lang w:val="uk-UA"/>
        </w:rPr>
        <w:t>Зародження і розвиток феномену романтизму у Європі.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«Озерна школа» та діяльність </w:t>
      </w:r>
      <w:proofErr w:type="spellStart"/>
      <w:r w:rsidRPr="00A058D3">
        <w:rPr>
          <w:sz w:val="24"/>
          <w:lang w:val="uk-UA"/>
        </w:rPr>
        <w:t>лейкістів</w:t>
      </w:r>
      <w:proofErr w:type="spellEnd"/>
      <w:r w:rsidRPr="00A058D3">
        <w:rPr>
          <w:sz w:val="24"/>
          <w:lang w:val="uk-UA"/>
        </w:rPr>
        <w:t>.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Французький романтизм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Німецький романтизм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Романтизм в країнах Східної Європи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Романтизм в музиці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Погляди Е. </w:t>
      </w:r>
      <w:proofErr w:type="spellStart"/>
      <w:r w:rsidRPr="00A058D3">
        <w:rPr>
          <w:sz w:val="24"/>
          <w:lang w:val="uk-UA"/>
        </w:rPr>
        <w:t>Геллнера</w:t>
      </w:r>
      <w:proofErr w:type="spellEnd"/>
      <w:r w:rsidRPr="00A058D3">
        <w:rPr>
          <w:sz w:val="24"/>
          <w:lang w:val="uk-UA"/>
        </w:rPr>
        <w:t xml:space="preserve"> про націоналізм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Погляди Е. Сміта щодо ролі історичного минулого в </w:t>
      </w:r>
      <w:proofErr w:type="spellStart"/>
      <w:r w:rsidRPr="00A058D3">
        <w:rPr>
          <w:sz w:val="24"/>
          <w:lang w:val="uk-UA"/>
        </w:rPr>
        <w:t>націотворчих</w:t>
      </w:r>
      <w:proofErr w:type="spellEnd"/>
      <w:r w:rsidRPr="00A058D3">
        <w:rPr>
          <w:sz w:val="24"/>
          <w:lang w:val="uk-UA"/>
        </w:rPr>
        <w:t xml:space="preserve"> процесах.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Погляди Б. Андерсона про нації як «уявні спільності».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Погляди М. </w:t>
      </w:r>
      <w:proofErr w:type="spellStart"/>
      <w:r w:rsidRPr="00A058D3">
        <w:rPr>
          <w:sz w:val="24"/>
          <w:lang w:val="uk-UA"/>
        </w:rPr>
        <w:t>Гроха</w:t>
      </w:r>
      <w:proofErr w:type="spellEnd"/>
      <w:r w:rsidRPr="00A058D3">
        <w:rPr>
          <w:sz w:val="24"/>
          <w:lang w:val="uk-UA"/>
        </w:rPr>
        <w:t xml:space="preserve"> про </w:t>
      </w:r>
      <w:proofErr w:type="spellStart"/>
      <w:r w:rsidRPr="00A058D3">
        <w:rPr>
          <w:sz w:val="24"/>
          <w:lang w:val="uk-UA"/>
        </w:rPr>
        <w:t>націотворчі</w:t>
      </w:r>
      <w:proofErr w:type="spellEnd"/>
      <w:r w:rsidRPr="00A058D3">
        <w:rPr>
          <w:sz w:val="24"/>
          <w:lang w:val="uk-UA"/>
        </w:rPr>
        <w:t xml:space="preserve"> процеси у малих народів Європи.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Погляди Е. </w:t>
      </w:r>
      <w:proofErr w:type="spellStart"/>
      <w:r w:rsidRPr="00A058D3">
        <w:rPr>
          <w:sz w:val="24"/>
          <w:lang w:val="uk-UA"/>
        </w:rPr>
        <w:t>Хобсбаум</w:t>
      </w:r>
      <w:proofErr w:type="spellEnd"/>
      <w:r w:rsidRPr="00A058D3">
        <w:rPr>
          <w:sz w:val="24"/>
          <w:lang w:val="uk-UA"/>
        </w:rPr>
        <w:t xml:space="preserve"> про винайдення національних традицій.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right="-5" w:firstLine="0"/>
        <w:jc w:val="both"/>
        <w:rPr>
          <w:bCs/>
          <w:iCs/>
          <w:sz w:val="24"/>
          <w:lang w:val="uk-UA"/>
        </w:rPr>
      </w:pPr>
      <w:r w:rsidRPr="00A058D3">
        <w:rPr>
          <w:bCs/>
          <w:iCs/>
          <w:sz w:val="24"/>
          <w:lang w:val="uk-UA"/>
        </w:rPr>
        <w:t>Основні трактовки поняття «нація».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right="-5" w:firstLine="0"/>
        <w:jc w:val="both"/>
        <w:rPr>
          <w:bCs/>
          <w:iCs/>
          <w:sz w:val="24"/>
          <w:lang w:val="uk-UA"/>
        </w:rPr>
      </w:pPr>
      <w:r w:rsidRPr="00A058D3">
        <w:rPr>
          <w:bCs/>
          <w:iCs/>
          <w:sz w:val="24"/>
          <w:lang w:val="uk-UA"/>
        </w:rPr>
        <w:t>Етапи розвитку національних рухів в Європі.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right="-5" w:firstLine="0"/>
        <w:jc w:val="both"/>
        <w:rPr>
          <w:bCs/>
          <w:iCs/>
          <w:sz w:val="24"/>
          <w:lang w:val="uk-UA"/>
        </w:rPr>
      </w:pPr>
      <w:r w:rsidRPr="00A058D3">
        <w:rPr>
          <w:bCs/>
          <w:iCs/>
          <w:sz w:val="24"/>
          <w:lang w:val="uk-UA"/>
        </w:rPr>
        <w:t>Сутність націоналізму.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before="100" w:beforeAutospacing="1" w:after="100" w:afterAutospacing="1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Перший позитивізм (представники, ідеї)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before="100" w:beforeAutospacing="1" w:after="100" w:afterAutospacing="1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Другий позитивізм 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before="100" w:beforeAutospacing="1" w:after="100" w:afterAutospacing="1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Неопозитивізм 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before="100" w:beforeAutospacing="1" w:after="100" w:afterAutospacing="1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Основні поняття постпозитивізму 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Чарльз Роберт Дарвін – біографічний нарис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Наукова діяльність Дарвіна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Дарвін і релігія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Еволюційне вчення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Ернст </w:t>
      </w:r>
      <w:proofErr w:type="spellStart"/>
      <w:r w:rsidRPr="00A058D3">
        <w:rPr>
          <w:sz w:val="24"/>
          <w:lang w:val="uk-UA"/>
        </w:rPr>
        <w:t>Геккель</w:t>
      </w:r>
      <w:proofErr w:type="spellEnd"/>
      <w:r w:rsidRPr="00A058D3">
        <w:rPr>
          <w:sz w:val="24"/>
          <w:lang w:val="uk-UA"/>
        </w:rPr>
        <w:t xml:space="preserve"> і розповсюдження дарвінізму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Початок розвитку європейської інтеграції (1946-1957 рр.)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Розвиток європейських товариств (1957-1986 рр.)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Від європейського товариств до Європейського Союзу</w:t>
      </w:r>
    </w:p>
    <w:p w:rsidR="00491F54" w:rsidRPr="00A058D3" w:rsidRDefault="00491F54" w:rsidP="00491F54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Інститути і політика Європейського Союзу</w:t>
      </w:r>
    </w:p>
    <w:p w:rsidR="00491F54" w:rsidRPr="00491F54" w:rsidRDefault="00491F54" w:rsidP="00491F54">
      <w:pPr>
        <w:pStyle w:val="a3"/>
        <w:rPr>
          <w:rFonts w:ascii="Times New Roman" w:hAnsi="Times New Roman" w:cs="Times New Roman"/>
          <w:lang w:val="uk-UA"/>
        </w:rPr>
      </w:pPr>
    </w:p>
    <w:sectPr w:rsidR="00491F54" w:rsidRPr="0049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4F96"/>
    <w:multiLevelType w:val="hybridMultilevel"/>
    <w:tmpl w:val="23BA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39D6"/>
    <w:multiLevelType w:val="hybridMultilevel"/>
    <w:tmpl w:val="FA9E1C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91F54"/>
    <w:rsid w:val="0049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F54"/>
    <w:pPr>
      <w:ind w:left="720"/>
      <w:contextualSpacing/>
    </w:pPr>
  </w:style>
  <w:style w:type="paragraph" w:styleId="a4">
    <w:name w:val="Normal (Web)"/>
    <w:basedOn w:val="a"/>
    <w:rsid w:val="0049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>MultiDVD Team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2016-01-10T13:07:00Z</dcterms:created>
  <dcterms:modified xsi:type="dcterms:W3CDTF">2016-01-10T13:09:00Z</dcterms:modified>
</cp:coreProperties>
</file>