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CF" w:rsidRDefault="00674ECF" w:rsidP="00674ECF">
      <w:pPr>
        <w:pStyle w:val="Style1"/>
        <w:widowControl/>
        <w:spacing w:line="240" w:lineRule="auto"/>
        <w:jc w:val="center"/>
        <w:rPr>
          <w:b/>
          <w:sz w:val="28"/>
          <w:szCs w:val="28"/>
          <w:lang w:val="uk-UA"/>
        </w:rPr>
      </w:pPr>
      <w:r w:rsidRPr="009B127E">
        <w:rPr>
          <w:b/>
          <w:sz w:val="28"/>
          <w:szCs w:val="28"/>
          <w:lang w:val="uk-UA"/>
        </w:rPr>
        <w:t>Індивідуальне завдання</w:t>
      </w:r>
    </w:p>
    <w:p w:rsidR="00674ECF" w:rsidRDefault="00674ECF" w:rsidP="00674ECF">
      <w:pPr>
        <w:pStyle w:val="Bodytext1"/>
        <w:spacing w:before="0" w:line="240" w:lineRule="auto"/>
        <w:ind w:left="20" w:right="20"/>
        <w:rPr>
          <w:rFonts w:ascii="Times New Roman" w:hAnsi="Times New Roman"/>
          <w:spacing w:val="-2"/>
        </w:rPr>
      </w:pPr>
    </w:p>
    <w:p w:rsidR="00674ECF" w:rsidRPr="00612C27" w:rsidRDefault="00674ECF" w:rsidP="00674ECF">
      <w:pPr>
        <w:pStyle w:val="Bodytext1"/>
        <w:spacing w:before="0" w:line="240" w:lineRule="auto"/>
        <w:ind w:left="20" w:right="20"/>
        <w:rPr>
          <w:rFonts w:ascii="Times New Roman" w:hAnsi="Times New Roman"/>
        </w:rPr>
      </w:pPr>
      <w:r w:rsidRPr="00AC7261">
        <w:rPr>
          <w:rFonts w:ascii="Times New Roman" w:hAnsi="Times New Roman"/>
          <w:spacing w:val="-2"/>
        </w:rPr>
        <w:t xml:space="preserve">Виконання </w:t>
      </w:r>
      <w:r w:rsidRPr="00AC7261">
        <w:rPr>
          <w:rFonts w:ascii="Times New Roman" w:hAnsi="Times New Roman"/>
          <w:bCs/>
          <w:iCs/>
          <w:spacing w:val="-2"/>
        </w:rPr>
        <w:t>індивідуального завдання</w:t>
      </w:r>
      <w:r w:rsidRPr="00AC7261">
        <w:rPr>
          <w:rFonts w:ascii="Times New Roman" w:hAnsi="Times New Roman"/>
          <w:spacing w:val="-2"/>
        </w:rPr>
        <w:t xml:space="preserve"> студентом полягає в написанні </w:t>
      </w:r>
      <w:r>
        <w:rPr>
          <w:rFonts w:ascii="Times New Roman" w:hAnsi="Times New Roman"/>
          <w:spacing w:val="-2"/>
        </w:rPr>
        <w:t>дослідницької роботи</w:t>
      </w:r>
      <w:r w:rsidRPr="00AC7261">
        <w:rPr>
          <w:rFonts w:ascii="Times New Roman" w:hAnsi="Times New Roman"/>
          <w:spacing w:val="-2"/>
        </w:rPr>
        <w:t xml:space="preserve"> з дисципліни </w:t>
      </w:r>
      <w:r w:rsidRPr="00B54A12">
        <w:rPr>
          <w:rFonts w:ascii="Times New Roman" w:hAnsi="Times New Roman" w:cs="Times New Roman"/>
          <w:spacing w:val="-2"/>
        </w:rPr>
        <w:t>«</w:t>
      </w:r>
      <w:r w:rsidR="00B27B36" w:rsidRPr="00B27B36">
        <w:rPr>
          <w:rFonts w:ascii="Times New Roman" w:hAnsi="Times New Roman" w:cs="Times New Roman"/>
        </w:rPr>
        <w:t>Розпорядчі та облікові документи з економіки праці</w:t>
      </w:r>
      <w:r w:rsidRPr="00B27B36">
        <w:rPr>
          <w:rFonts w:ascii="Times New Roman" w:hAnsi="Times New Roman" w:cs="Times New Roman"/>
          <w:spacing w:val="-2"/>
        </w:rPr>
        <w:t xml:space="preserve">» </w:t>
      </w:r>
      <w:r w:rsidRPr="00AC7261">
        <w:rPr>
          <w:rFonts w:ascii="Times New Roman" w:hAnsi="Times New Roman"/>
          <w:spacing w:val="-2"/>
        </w:rPr>
        <w:t xml:space="preserve">на одну із запропонованих тем. </w:t>
      </w:r>
      <w:r w:rsidRPr="00AC7261">
        <w:rPr>
          <w:rFonts w:ascii="Times New Roman" w:hAnsi="Times New Roman"/>
        </w:rPr>
        <w:t xml:space="preserve">Перелік тем </w:t>
      </w:r>
      <w:r>
        <w:rPr>
          <w:rFonts w:ascii="Times New Roman" w:hAnsi="Times New Roman"/>
        </w:rPr>
        <w:t>індивідуального завдання</w:t>
      </w:r>
      <w:r w:rsidRPr="00AC7261">
        <w:rPr>
          <w:rFonts w:ascii="Times New Roman" w:hAnsi="Times New Roman"/>
        </w:rPr>
        <w:t xml:space="preserve"> надається викладачем. Студент має надати ІЗ для перевірки наприкінці другого контрольного тестування, але не пізніше дати складання </w:t>
      </w:r>
      <w:r>
        <w:rPr>
          <w:rFonts w:ascii="Times New Roman" w:hAnsi="Times New Roman"/>
        </w:rPr>
        <w:t>заліку</w:t>
      </w:r>
      <w:r w:rsidRPr="00AC7261">
        <w:rPr>
          <w:rFonts w:ascii="Times New Roman" w:hAnsi="Times New Roman"/>
        </w:rPr>
        <w:t>. Бали за виконання ІЗ враховуються під час виставлення п</w:t>
      </w:r>
      <w:r>
        <w:rPr>
          <w:rFonts w:ascii="Times New Roman" w:hAnsi="Times New Roman"/>
        </w:rPr>
        <w:t>ідсумкової оцінки з дисципліни.</w:t>
      </w:r>
    </w:p>
    <w:p w:rsidR="008B0569" w:rsidRPr="008B0569" w:rsidRDefault="008B0569" w:rsidP="008B05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B0569">
        <w:rPr>
          <w:rFonts w:ascii="Times New Roman" w:hAnsi="Times New Roman" w:cs="Times New Roman"/>
          <w:sz w:val="28"/>
          <w:szCs w:val="28"/>
          <w:lang w:eastAsia="ja-JP"/>
        </w:rPr>
        <w:t>Максимальна оцінка, яку студент може отримати за виконання індивідуального завдання, складає 20 балів.</w:t>
      </w:r>
    </w:p>
    <w:p w:rsidR="008B0569" w:rsidRPr="008B0569" w:rsidRDefault="008B0569" w:rsidP="008B05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B0569">
        <w:rPr>
          <w:rFonts w:ascii="Times New Roman" w:hAnsi="Times New Roman" w:cs="Times New Roman"/>
          <w:b/>
          <w:sz w:val="28"/>
          <w:szCs w:val="28"/>
          <w:lang w:eastAsia="ja-JP"/>
        </w:rPr>
        <w:t>максимальна оцінка (20 балів)</w:t>
      </w:r>
      <w:r w:rsidRPr="008B0569">
        <w:rPr>
          <w:rFonts w:ascii="Times New Roman" w:hAnsi="Times New Roman" w:cs="Times New Roman"/>
          <w:sz w:val="28"/>
          <w:szCs w:val="28"/>
          <w:lang w:eastAsia="ja-JP"/>
        </w:rPr>
        <w:t xml:space="preserve">: завдання виконано повністю без помилок у визначений строк; </w:t>
      </w:r>
    </w:p>
    <w:p w:rsidR="008B0569" w:rsidRPr="008B0569" w:rsidRDefault="008B0569" w:rsidP="008B05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B0569">
        <w:rPr>
          <w:rFonts w:ascii="Times New Roman" w:hAnsi="Times New Roman" w:cs="Times New Roman"/>
          <w:b/>
          <w:sz w:val="28"/>
          <w:szCs w:val="28"/>
          <w:lang w:eastAsia="ja-JP"/>
        </w:rPr>
        <w:t>15 балів</w:t>
      </w:r>
      <w:r w:rsidRPr="008B0569">
        <w:rPr>
          <w:rFonts w:ascii="Times New Roman" w:hAnsi="Times New Roman" w:cs="Times New Roman"/>
          <w:sz w:val="28"/>
          <w:szCs w:val="28"/>
          <w:lang w:eastAsia="ja-JP"/>
        </w:rPr>
        <w:t xml:space="preserve">: завдання виконано повністю </w:t>
      </w:r>
      <w:r w:rsidRPr="008B056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без суттєвих помилок </w:t>
      </w:r>
      <w:r w:rsidRPr="008B0569">
        <w:rPr>
          <w:rFonts w:ascii="Times New Roman" w:hAnsi="Times New Roman" w:cs="Times New Roman"/>
          <w:sz w:val="28"/>
          <w:szCs w:val="28"/>
          <w:lang w:eastAsia="ja-JP"/>
        </w:rPr>
        <w:t xml:space="preserve">або з незначними помилками, але здано після визначеного строку протягом тижня; </w:t>
      </w:r>
    </w:p>
    <w:p w:rsidR="008B0569" w:rsidRPr="008B0569" w:rsidRDefault="008B0569" w:rsidP="008B05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B0569">
        <w:rPr>
          <w:rFonts w:ascii="Times New Roman" w:hAnsi="Times New Roman" w:cs="Times New Roman"/>
          <w:b/>
          <w:sz w:val="28"/>
          <w:szCs w:val="28"/>
          <w:lang w:eastAsia="ja-JP"/>
        </w:rPr>
        <w:t>10 балів</w:t>
      </w:r>
      <w:r w:rsidRPr="008B0569">
        <w:rPr>
          <w:rFonts w:ascii="Times New Roman" w:hAnsi="Times New Roman" w:cs="Times New Roman"/>
          <w:sz w:val="28"/>
          <w:szCs w:val="28"/>
          <w:lang w:eastAsia="ja-JP"/>
        </w:rPr>
        <w:t xml:space="preserve">: завдання виконано не повністю, але здано в строк; </w:t>
      </w:r>
    </w:p>
    <w:p w:rsidR="008B0569" w:rsidRPr="008B0569" w:rsidRDefault="008B0569" w:rsidP="008B05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B0569">
        <w:rPr>
          <w:rFonts w:ascii="Times New Roman" w:hAnsi="Times New Roman" w:cs="Times New Roman"/>
          <w:b/>
          <w:sz w:val="28"/>
          <w:szCs w:val="28"/>
          <w:lang w:eastAsia="ja-JP"/>
        </w:rPr>
        <w:t>5 балів</w:t>
      </w:r>
      <w:r w:rsidRPr="008B0569">
        <w:rPr>
          <w:rFonts w:ascii="Times New Roman" w:hAnsi="Times New Roman" w:cs="Times New Roman"/>
          <w:sz w:val="28"/>
          <w:szCs w:val="28"/>
          <w:lang w:eastAsia="ja-JP"/>
        </w:rPr>
        <w:t xml:space="preserve">: завдання виконано не повністю, робота здана із значною затримкою в обумовленому часі; </w:t>
      </w:r>
    </w:p>
    <w:p w:rsidR="008B0569" w:rsidRPr="008B0569" w:rsidRDefault="008B0569" w:rsidP="008B05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B0569">
        <w:rPr>
          <w:rFonts w:ascii="Times New Roman" w:hAnsi="Times New Roman" w:cs="Times New Roman"/>
          <w:b/>
          <w:sz w:val="28"/>
          <w:szCs w:val="28"/>
          <w:lang w:eastAsia="ja-JP"/>
        </w:rPr>
        <w:t>0 балів</w:t>
      </w:r>
      <w:r w:rsidRPr="008B0569">
        <w:rPr>
          <w:rFonts w:ascii="Times New Roman" w:hAnsi="Times New Roman" w:cs="Times New Roman"/>
          <w:sz w:val="28"/>
          <w:szCs w:val="28"/>
          <w:lang w:eastAsia="ja-JP"/>
        </w:rPr>
        <w:t xml:space="preserve"> -  індивідуальну роботу не виконано.</w:t>
      </w:r>
    </w:p>
    <w:p w:rsidR="00832936" w:rsidRPr="008B0569" w:rsidRDefault="00832936">
      <w:pPr>
        <w:rPr>
          <w:rFonts w:ascii="Times New Roman" w:hAnsi="Times New Roman" w:cs="Times New Roman"/>
        </w:rPr>
      </w:pPr>
    </w:p>
    <w:p w:rsidR="005D7879" w:rsidRPr="005D7879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iCs/>
          <w:color w:val="000000"/>
          <w:sz w:val="28"/>
          <w:szCs w:val="28"/>
        </w:rPr>
        <w:t>Праця й соціально-трудові відносини як предмет наукового економічного дослідження.</w:t>
      </w:r>
      <w:r w:rsidRPr="005D7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D7879" w:rsidRPr="005D7879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Праця як основа розвитку суспільства. Праця і робота.  Робоча сила.  Засоби виробництва. Предмети праці.  Продуктивні сили.  Соціальна характеристика праці.  </w:t>
      </w:r>
    </w:p>
    <w:p w:rsidR="005D7879" w:rsidRPr="005D7879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>Класифікація видів праці.  Характер праці.  Зміст праці.  Функції праці.</w:t>
      </w:r>
    </w:p>
    <w:p w:rsidR="005D7879" w:rsidRPr="005D7879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Суспільний характер праці.  Характер праці. Показники характеру праці. Спільна праця.  Суспільний характер праці.  Управління працею. </w:t>
      </w:r>
    </w:p>
    <w:p w:rsidR="005D7879" w:rsidRPr="005D7879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>Зміст, показники, методи виміру трудових ресурсів. Економічно неактивне населення. Робоча сила.  Трудові ресурси.  Характеристика трудових ресурсів.  Баланс трудових ресурсів.</w:t>
      </w:r>
    </w:p>
    <w:p w:rsidR="00B33FC5" w:rsidRPr="00B33FC5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Персонал підприємства.  Класифікатор професій.  Робітники. Керівники. </w:t>
      </w:r>
    </w:p>
    <w:p w:rsidR="00B33FC5" w:rsidRPr="00B33FC5" w:rsidRDefault="00832936" w:rsidP="005D78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Професіонали. Фахівці. Технічні службовці.  Спеціальність.  Рівень кваліфікації.  Обліковий склад.  Середньооблікова чисельність.  Явочний склад.  Робочий час. </w:t>
      </w:r>
    </w:p>
    <w:p w:rsidR="00B33FC5" w:rsidRPr="00B33FC5" w:rsidRDefault="00832936" w:rsidP="0083293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>Структура кадрів. Професійна підготовка. Трудова угода. Трудовий договір. Колективний договір.</w:t>
      </w:r>
    </w:p>
    <w:p w:rsidR="00B33FC5" w:rsidRPr="00B33FC5" w:rsidRDefault="00832936" w:rsidP="00B33FC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C5">
        <w:rPr>
          <w:rFonts w:ascii="Times New Roman" w:hAnsi="Times New Roman" w:cs="Times New Roman"/>
          <w:sz w:val="28"/>
          <w:szCs w:val="28"/>
        </w:rPr>
        <w:t xml:space="preserve"> Трудовий потенціал. Якісна характеристика  трудового потенціалу. Потенціал людини. Людський капітал. </w:t>
      </w:r>
    </w:p>
    <w:p w:rsidR="00B33FC5" w:rsidRDefault="00B33FC5" w:rsidP="00B33FC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936" w:rsidRPr="00B33F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Поняття, зміст і завдання організації праці. Поділ і кооперування праці. </w:t>
      </w:r>
    </w:p>
    <w:p w:rsidR="00A91B7B" w:rsidRDefault="00832936" w:rsidP="00B33FC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C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Організація робочих місць. Трудовий процес і його раціоналізація. </w:t>
      </w:r>
    </w:p>
    <w:p w:rsidR="00A91B7B" w:rsidRDefault="00832936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C5">
        <w:rPr>
          <w:rFonts w:ascii="Times New Roman" w:hAnsi="Times New Roman" w:cs="Times New Roman"/>
          <w:iCs/>
          <w:color w:val="000000"/>
          <w:sz w:val="28"/>
          <w:szCs w:val="28"/>
        </w:rPr>
        <w:t>Умови праці і фактори їх формування. Охорона і безпека праці. Охорона праці.</w:t>
      </w:r>
    </w:p>
    <w:p w:rsidR="00A91B7B" w:rsidRPr="00A91B7B" w:rsidRDefault="00832936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 xml:space="preserve">Організація суспільної праці.  Наукова організація праці. Класифікація і структура трудових процесів.  </w:t>
      </w:r>
    </w:p>
    <w:p w:rsidR="00A91B7B" w:rsidRPr="00A91B7B" w:rsidRDefault="00832936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 xml:space="preserve">Функціонування робочого місця. Коефіцієнт оснащеності робочого місця. Організація робочих місць. </w:t>
      </w:r>
    </w:p>
    <w:p w:rsidR="00A91B7B" w:rsidRPr="00A91B7B" w:rsidRDefault="00832936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>Атестація робочих місць. Планування робочих місць. Індивідуальна організація праці. Колективна організація праці. Класифікація.  Професія.</w:t>
      </w:r>
    </w:p>
    <w:p w:rsidR="00A91B7B" w:rsidRPr="00A91B7B" w:rsidRDefault="00A91B7B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936" w:rsidRPr="00A91B7B">
        <w:rPr>
          <w:rFonts w:ascii="Times New Roman" w:hAnsi="Times New Roman" w:cs="Times New Roman"/>
          <w:sz w:val="28"/>
          <w:szCs w:val="28"/>
        </w:rPr>
        <w:t xml:space="preserve">Зміст нормування праці. Види норм праці. </w:t>
      </w:r>
    </w:p>
    <w:p w:rsidR="00A91B7B" w:rsidRPr="00A91B7B" w:rsidRDefault="00832936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>Норма часу. Норма виробітку. Норма обслуговування устаткування. Норматив чисельності працюючих.</w:t>
      </w:r>
    </w:p>
    <w:p w:rsidR="00A91B7B" w:rsidRPr="00A91B7B" w:rsidRDefault="00832936" w:rsidP="00A91B7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 xml:space="preserve">Робочий час як об’єкт нормування. Затрати робочого часу.  </w:t>
      </w:r>
    </w:p>
    <w:p w:rsidR="00195274" w:rsidRPr="00195274" w:rsidRDefault="00832936" w:rsidP="0019527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>Нормований робочий час. Підготовчо-закл</w:t>
      </w:r>
      <w:r w:rsidR="00195274">
        <w:rPr>
          <w:rFonts w:ascii="Times New Roman" w:hAnsi="Times New Roman" w:cs="Times New Roman"/>
          <w:sz w:val="28"/>
          <w:szCs w:val="28"/>
        </w:rPr>
        <w:t>ючний час. Час основної роботи.</w:t>
      </w:r>
    </w:p>
    <w:p w:rsidR="008B2886" w:rsidRPr="008B2886" w:rsidRDefault="00832936" w:rsidP="00EC35A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5274">
        <w:rPr>
          <w:rFonts w:ascii="Times New Roman" w:hAnsi="Times New Roman" w:cs="Times New Roman"/>
          <w:sz w:val="28"/>
          <w:szCs w:val="28"/>
        </w:rPr>
        <w:t xml:space="preserve">Фотографія робочих процесів. Фотографія робочого дня.  Індивідуальна фотографія робочого дня. </w:t>
      </w:r>
    </w:p>
    <w:p w:rsidR="00EC35A4" w:rsidRPr="00EC35A4" w:rsidRDefault="00832936" w:rsidP="00EC35A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195274">
        <w:rPr>
          <w:rFonts w:ascii="Times New Roman" w:hAnsi="Times New Roman" w:cs="Times New Roman"/>
          <w:sz w:val="28"/>
          <w:szCs w:val="28"/>
        </w:rPr>
        <w:t xml:space="preserve">Бригадна фотографія робочого дня. </w:t>
      </w:r>
      <w:proofErr w:type="spellStart"/>
      <w:r w:rsidRPr="00195274">
        <w:rPr>
          <w:rFonts w:ascii="Times New Roman" w:hAnsi="Times New Roman" w:cs="Times New Roman"/>
          <w:sz w:val="28"/>
          <w:szCs w:val="28"/>
        </w:rPr>
        <w:t>Самофотографія.</w:t>
      </w:r>
      <w:proofErr w:type="spellEnd"/>
    </w:p>
    <w:p w:rsidR="00EC35A4" w:rsidRPr="00EC35A4" w:rsidRDefault="00832936" w:rsidP="00EC35A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>Поняття ефективності праці. Соціальне та економічне значення її підвищення.</w:t>
      </w:r>
    </w:p>
    <w:p w:rsidR="00EC35A4" w:rsidRPr="00EC35A4" w:rsidRDefault="00832936" w:rsidP="00EC35A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 xml:space="preserve">Продуктивність праці. Продуктивність суспільної праці. Праця. Виробіток. </w:t>
      </w:r>
    </w:p>
    <w:p w:rsidR="00EC35A4" w:rsidRPr="00EC35A4" w:rsidRDefault="00832936" w:rsidP="00EC35A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 xml:space="preserve">Технологічна трудомісткість. Виробнича трудомісткість. Повна трудомісткість. Нормативна трудомісткість. Планова трудомісткість.  </w:t>
      </w:r>
    </w:p>
    <w:p w:rsidR="00EC35A4" w:rsidRPr="00EC35A4" w:rsidRDefault="00832936" w:rsidP="00EC35A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>Чинники збільшення трудомісткості праці. Резерви підвищення продуктивності праці.</w:t>
      </w:r>
    </w:p>
    <w:p w:rsidR="00290D7C" w:rsidRPr="00290D7C" w:rsidRDefault="00832936" w:rsidP="00290D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>Оплата праці в управлінні виробництвом</w:t>
      </w:r>
      <w:r w:rsidRPr="00EC3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35A4">
        <w:rPr>
          <w:rFonts w:ascii="Times New Roman" w:hAnsi="Times New Roman" w:cs="Times New Roman"/>
          <w:sz w:val="28"/>
          <w:szCs w:val="28"/>
        </w:rPr>
        <w:t>Посадові оклади. Безтарифна система.  Категорії працюючих. Принципи тарифної системи.</w:t>
      </w:r>
    </w:p>
    <w:p w:rsidR="00290D7C" w:rsidRPr="00290D7C" w:rsidRDefault="00832936" w:rsidP="00290D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Система преміювання.  Напрями системи преміювання. Загальний розмір премії</w:t>
      </w:r>
      <w:r w:rsidR="00290D7C">
        <w:rPr>
          <w:rFonts w:ascii="Times New Roman" w:hAnsi="Times New Roman" w:cs="Times New Roman"/>
          <w:sz w:val="28"/>
          <w:szCs w:val="28"/>
        </w:rPr>
        <w:t>.</w:t>
      </w:r>
    </w:p>
    <w:p w:rsidR="00290D7C" w:rsidRPr="00290D7C" w:rsidRDefault="00832936" w:rsidP="00290D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Структура заробітної плати. Фонд оплати праці. Планування заробітної плати. </w:t>
      </w:r>
    </w:p>
    <w:p w:rsidR="00290D7C" w:rsidRPr="00290D7C" w:rsidRDefault="00832936" w:rsidP="00290D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Зведений</w:t>
      </w:r>
      <w:r w:rsidRPr="00290D7C">
        <w:rPr>
          <w:rFonts w:ascii="Times New Roman" w:hAnsi="Times New Roman" w:cs="Times New Roman"/>
          <w:sz w:val="28"/>
          <w:szCs w:val="28"/>
        </w:rPr>
        <w:tab/>
        <w:t xml:space="preserve"> розрахунок планованої заробітної плати. Методи планування фонду заробітної плати.  </w:t>
      </w:r>
    </w:p>
    <w:p w:rsidR="00290D7C" w:rsidRPr="00290D7C" w:rsidRDefault="00832936" w:rsidP="00290D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Мотивація трудової діяльності.  Мотив. </w:t>
      </w:r>
    </w:p>
    <w:p w:rsidR="00290D7C" w:rsidRPr="00290D7C" w:rsidRDefault="00832936" w:rsidP="00290D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Досвід розвинутих країн в організації стимулювання праці.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 Методи атестації працюючих. Надбавки. Гнучкі системи оплати праці.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Планування кількості працівників за явочним часом. Явочна кількість працівників за зміну. Безперервно діючі підприємства.  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lastRenderedPageBreak/>
        <w:t xml:space="preserve">Планування продуктивності праці на підприємстві. Економія кількості робочої сили. Економія кількості працюючих. 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Підвищення продуктивності праці. 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Економія робочої сили. Скорочення невиходів на роботу.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Звітність та аудит у сфері праці.  Мета аудиторської перевірки. Об’єкт аудиту.  Напрями аудиту.  Завдання аудиту. Процес аудиту. 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Основні джерела інформації  для аудиту. Джерела внутрішньої інформації. </w:t>
      </w:r>
    </w:p>
    <w:p w:rsidR="00250313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Опитування. Етапи проведення опитування. </w:t>
      </w:r>
    </w:p>
    <w:p w:rsidR="00832936" w:rsidRPr="00250313" w:rsidRDefault="00832936" w:rsidP="0025031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Завдання аудитора. Підсумковий матеріал аудиту. Ефективність аудиту.</w:t>
      </w:r>
      <w:r w:rsidRPr="00250313">
        <w:rPr>
          <w:rFonts w:ascii="Times New Roman" w:hAnsi="Times New Roman" w:cs="Times New Roman"/>
        </w:rPr>
        <w:t xml:space="preserve">  </w:t>
      </w:r>
    </w:p>
    <w:p w:rsidR="00E27666" w:rsidRPr="008B0569" w:rsidRDefault="00E27666" w:rsidP="00832936">
      <w:pPr>
        <w:ind w:firstLine="708"/>
        <w:rPr>
          <w:rFonts w:ascii="Times New Roman" w:hAnsi="Times New Roman" w:cs="Times New Roman"/>
        </w:rPr>
      </w:pPr>
    </w:p>
    <w:sectPr w:rsidR="00E27666" w:rsidRPr="008B0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F6F"/>
    <w:multiLevelType w:val="hybridMultilevel"/>
    <w:tmpl w:val="70C013D6"/>
    <w:lvl w:ilvl="0" w:tplc="5A18D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F"/>
    <w:rsid w:val="00195274"/>
    <w:rsid w:val="00250313"/>
    <w:rsid w:val="00290D7C"/>
    <w:rsid w:val="005D7879"/>
    <w:rsid w:val="00674ECF"/>
    <w:rsid w:val="00832936"/>
    <w:rsid w:val="008B0569"/>
    <w:rsid w:val="008B2886"/>
    <w:rsid w:val="00A91B7B"/>
    <w:rsid w:val="00B27B36"/>
    <w:rsid w:val="00B33FC5"/>
    <w:rsid w:val="00E27666"/>
    <w:rsid w:val="00E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293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74EC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link w:val="Bodytext1"/>
    <w:locked/>
    <w:rsid w:val="00674ECF"/>
    <w:rPr>
      <w:rFonts w:ascii="Arial" w:hAnsi="Arial" w:cs="Arial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1"/>
    <w:rsid w:val="00674ECF"/>
    <w:pPr>
      <w:shd w:val="clear" w:color="auto" w:fill="FFFFFF"/>
      <w:spacing w:before="600" w:after="0" w:line="418" w:lineRule="exact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rsid w:val="00832936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5D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293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74EC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link w:val="Bodytext1"/>
    <w:locked/>
    <w:rsid w:val="00674ECF"/>
    <w:rPr>
      <w:rFonts w:ascii="Arial" w:hAnsi="Arial" w:cs="Arial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1"/>
    <w:rsid w:val="00674ECF"/>
    <w:pPr>
      <w:shd w:val="clear" w:color="auto" w:fill="FFFFFF"/>
      <w:spacing w:before="600" w:after="0" w:line="418" w:lineRule="exact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rsid w:val="00832936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5D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</dc:creator>
  <cp:lastModifiedBy>Бехтер</cp:lastModifiedBy>
  <cp:revision>2</cp:revision>
  <dcterms:created xsi:type="dcterms:W3CDTF">2020-02-22T18:35:00Z</dcterms:created>
  <dcterms:modified xsi:type="dcterms:W3CDTF">2020-02-22T18:54:00Z</dcterms:modified>
</cp:coreProperties>
</file>