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40A1" w:rsidRDefault="00BE5508" w:rsidP="009940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sz w:val="24"/>
          <w:szCs w:val="24"/>
          <w:lang w:val="uk-UA"/>
        </w:rPr>
        <w:t>Тема. Ринок облігацій</w:t>
      </w:r>
    </w:p>
    <w:p w:rsidR="00BE5508" w:rsidRPr="009940A1" w:rsidRDefault="00BE5508" w:rsidP="0099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sz w:val="24"/>
          <w:szCs w:val="24"/>
          <w:lang w:val="uk-UA"/>
        </w:rPr>
        <w:t>Поняття облігацій як боргових цінних паперів.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Облігація </w:t>
      </w:r>
      <w:r w:rsidRPr="009940A1">
        <w:rPr>
          <w:rFonts w:ascii="Times New Roman" w:hAnsi="Times New Roman" w:cs="Times New Roman"/>
          <w:sz w:val="24"/>
          <w:szCs w:val="24"/>
        </w:rPr>
        <w:t xml:space="preserve">належить до боргових цінних паперів, які підтверджують наявність дебіторсько-кредиторських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взаємовід-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носин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між емітентом і власником облігації.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Випускаючи облігацію, емітент тим самим заявляє про:</w:t>
      </w:r>
    </w:p>
    <w:p w:rsidR="00BE5508" w:rsidRPr="009940A1" w:rsidRDefault="00BE5508" w:rsidP="009940A1">
      <w:pPr>
        <w:pStyle w:val="a3"/>
        <w:widowControl w:val="0"/>
        <w:numPr>
          <w:ilvl w:val="1"/>
          <w:numId w:val="2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свою потребу в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залученні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9940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засобі</w:t>
      </w:r>
      <w:proofErr w:type="gramStart"/>
      <w:r w:rsidRPr="009940A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BE5508" w:rsidRPr="009940A1" w:rsidRDefault="00BE5508" w:rsidP="009940A1">
      <w:pPr>
        <w:pStyle w:val="a3"/>
        <w:widowControl w:val="0"/>
        <w:numPr>
          <w:ilvl w:val="1"/>
          <w:numId w:val="2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термі</w:t>
      </w:r>
      <w:proofErr w:type="gramStart"/>
      <w:r w:rsidRPr="009940A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9940A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потрібні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9940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BE5508" w:rsidRPr="009940A1" w:rsidRDefault="00BE5508" w:rsidP="009940A1">
      <w:pPr>
        <w:pStyle w:val="a3"/>
        <w:widowControl w:val="0"/>
        <w:numPr>
          <w:ilvl w:val="1"/>
          <w:numId w:val="2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9940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винагороди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згоден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платити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BE5508" w:rsidRPr="009940A1" w:rsidRDefault="00BE5508" w:rsidP="009940A1">
      <w:pPr>
        <w:pStyle w:val="a3"/>
        <w:widowControl w:val="0"/>
        <w:numPr>
          <w:ilvl w:val="1"/>
          <w:numId w:val="2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борг</w:t>
      </w:r>
      <w:r w:rsidRPr="009940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Згідно Закону України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цінні папери і фондову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біржу”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сутність облігації визначена так: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“Облігація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– цінний папір, що засвідчує внесення її власником грошових коштів і підтверджує зобов’язання відшкодувати йому номінальну вартість цього цінного паперу в передбачений в ньому строк з виплатою фіксованого проценту (якщо інше не передбачено умовами випуску)”.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Рішення про випуск облігацій державних і місцевих позик приймається відповідно Кабінетом Міністрів України і місцевими Радами народних депутатів. У рішенні визначається емітент, умови випуску і порядок розміщення облігацій.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Облігації підприємств випускаються підприємствами усіх передбачених законом форм власності, об’єднаннями підприємств, акціонерними та іншими товариствами і не дають їх власникам права на участь в управлінні справами емітента.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>Обов’язковими реквізитами облігацій підприємств є наступні</w:t>
      </w:r>
      <w:r w:rsidRPr="009940A1">
        <w:rPr>
          <w:rFonts w:ascii="Times New Roman" w:hAnsi="Times New Roman" w:cs="Times New Roman"/>
          <w:sz w:val="24"/>
          <w:szCs w:val="24"/>
        </w:rPr>
        <w:t xml:space="preserve">: найменування цінного паперу –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“облігація”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 фірмове найменування і місцезнаходження емітента облігації; фірмове найменування або ім’я покупця (для іменної облігації); номінальна вартість облігації; термін погашення; розмір і строки виплати процентів (для процентних облігацій); місце і дата випуску; серія і номер облігації; підпис керівника емітента або іншої уповноваженої на це особи; печатка емітента.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Крім основної частини, до облігації може додаватися купонний лист на виплату процентів. Він містить такі основні дані: порядковий номер купона на виплату процентів; номер облігації, по якій виплачуються проценти; найменування емітента і термін виплати процентів.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Акціонерні товариства можуть випускати облігації на суму не більше 25% від розміру статутного фонду і лише після повної оплати всіх випущених</w:t>
      </w:r>
      <w:r w:rsidRPr="009940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>акцій.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Облігації усіх видів розповсюджуються серед підприємств та громадян на добровільних засадах.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lastRenderedPageBreak/>
        <w:t>Громадяни придбають облігації тільки за рахунок своїх особистих коштів.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Підприємства придбають облігації за рахунок коштів, що залишаються в їх розпорядженні після сплати податків та процентів за банківський кредит.</w:t>
      </w:r>
    </w:p>
    <w:p w:rsidR="00BE5508" w:rsidRPr="009940A1" w:rsidRDefault="00BE5508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508" w:rsidRPr="009940A1" w:rsidRDefault="00BE5508" w:rsidP="009940A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>Взаємні права та обов’язки емітентів та власників облігацій.</w:t>
      </w:r>
    </w:p>
    <w:p w:rsidR="003D24A6" w:rsidRPr="009940A1" w:rsidRDefault="003D24A6" w:rsidP="009940A1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Права і обов’язки емітента і власника облігації є типовими для боргових відносин, що існують між кредитором і боржником.</w:t>
      </w:r>
    </w:p>
    <w:p w:rsidR="003D24A6" w:rsidRPr="009940A1" w:rsidRDefault="003D24A6" w:rsidP="009940A1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Емітент облігацій має наступні </w:t>
      </w:r>
      <w:r w:rsidRPr="009940A1">
        <w:rPr>
          <w:rFonts w:ascii="Times New Roman" w:hAnsi="Times New Roman" w:cs="Times New Roman"/>
          <w:b/>
          <w:i/>
          <w:sz w:val="24"/>
          <w:szCs w:val="24"/>
        </w:rPr>
        <w:t>права</w:t>
      </w:r>
      <w:r w:rsidRPr="009940A1">
        <w:rPr>
          <w:rFonts w:ascii="Times New Roman" w:hAnsi="Times New Roman" w:cs="Times New Roman"/>
          <w:sz w:val="24"/>
          <w:szCs w:val="24"/>
        </w:rPr>
        <w:t>: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оплати</w:t>
      </w:r>
      <w:r w:rsidRPr="009940A1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ігацій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залученими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коштами на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9940A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розсуд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строку,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940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безстроковими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ігаціях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облігації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940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відзивними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винагороди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ігаціях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паперів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облігації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конвертованими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, та</w:t>
      </w:r>
      <w:r w:rsidRPr="009940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.</w:t>
      </w:r>
    </w:p>
    <w:p w:rsidR="003D24A6" w:rsidRPr="009940A1" w:rsidRDefault="003D24A6" w:rsidP="009940A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Разом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емітент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b/>
          <w:i/>
          <w:sz w:val="24"/>
          <w:szCs w:val="24"/>
        </w:rPr>
        <w:t>зобов’язаний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: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власнику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позичену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суму грошей</w:t>
      </w:r>
      <w:r w:rsidRPr="009940A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виплатити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обіцяну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винагороду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залученими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погасити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заборгованість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установлені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строки по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строкових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ігаціях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та</w:t>
      </w:r>
      <w:r w:rsidRPr="009940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.</w:t>
      </w:r>
    </w:p>
    <w:p w:rsidR="003D24A6" w:rsidRPr="009940A1" w:rsidRDefault="003D24A6" w:rsidP="009940A1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Власник облігації має </w:t>
      </w:r>
      <w:r w:rsidRPr="009940A1">
        <w:rPr>
          <w:rFonts w:ascii="Times New Roman" w:hAnsi="Times New Roman" w:cs="Times New Roman"/>
          <w:b/>
          <w:i/>
          <w:sz w:val="24"/>
          <w:szCs w:val="24"/>
        </w:rPr>
        <w:t>права</w:t>
      </w:r>
      <w:r w:rsidRPr="009940A1">
        <w:rPr>
          <w:rFonts w:ascii="Times New Roman" w:hAnsi="Times New Roman" w:cs="Times New Roman"/>
          <w:sz w:val="24"/>
          <w:szCs w:val="24"/>
        </w:rPr>
        <w:t>: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суму грошей, яку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дав у </w:t>
      </w:r>
      <w:proofErr w:type="gramStart"/>
      <w:r w:rsidRPr="009940A1">
        <w:rPr>
          <w:rFonts w:ascii="Times New Roman" w:hAnsi="Times New Roman" w:cs="Times New Roman"/>
          <w:sz w:val="24"/>
          <w:szCs w:val="24"/>
        </w:rPr>
        <w:t>борг</w:t>
      </w:r>
      <w:proofErr w:type="gramEnd"/>
      <w:r w:rsidRPr="009940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емітенту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обіцяну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емітентом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винагороду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позиченими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грошовими</w:t>
      </w:r>
      <w:proofErr w:type="spellEnd"/>
      <w:r w:rsidRPr="009940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9940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обмінювати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продавати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дарувати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випуску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940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>т.д.</w:t>
      </w:r>
    </w:p>
    <w:p w:rsidR="003D24A6" w:rsidRPr="009940A1" w:rsidRDefault="003D24A6" w:rsidP="009940A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b/>
          <w:i/>
          <w:sz w:val="24"/>
          <w:szCs w:val="24"/>
        </w:rPr>
        <w:t>зобов’язаний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>: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сплатити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ігацій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грошові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емітента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9940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>строк;</w:t>
      </w:r>
    </w:p>
    <w:p w:rsidR="003D24A6" w:rsidRPr="009940A1" w:rsidRDefault="003D24A6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грошові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безумовно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та</w:t>
      </w:r>
      <w:r w:rsidRPr="009940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.</w:t>
      </w:r>
    </w:p>
    <w:p w:rsidR="003D24A6" w:rsidRPr="009940A1" w:rsidRDefault="003D24A6" w:rsidP="009940A1">
      <w:pPr>
        <w:pStyle w:val="a3"/>
        <w:widowControl w:val="0"/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D24A6" w:rsidRPr="009940A1" w:rsidRDefault="003D24A6" w:rsidP="0099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sz w:val="24"/>
          <w:szCs w:val="24"/>
          <w:lang w:val="uk-UA"/>
        </w:rPr>
        <w:t>Види облігацій.</w:t>
      </w:r>
    </w:p>
    <w:p w:rsidR="003D24A6" w:rsidRPr="009940A1" w:rsidRDefault="003D24A6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i/>
          <w:sz w:val="24"/>
          <w:szCs w:val="24"/>
          <w:lang w:val="uk-UA"/>
        </w:rPr>
        <w:t>За емітентами:</w:t>
      </w:r>
    </w:p>
    <w:p w:rsidR="003D24A6" w:rsidRPr="009940A1" w:rsidRDefault="003D24A6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Державними </w:t>
      </w:r>
      <w:r w:rsidRPr="009940A1">
        <w:rPr>
          <w:rFonts w:ascii="Times New Roman" w:hAnsi="Times New Roman" w:cs="Times New Roman"/>
          <w:sz w:val="24"/>
          <w:szCs w:val="24"/>
        </w:rPr>
        <w:t>облігаціями вважаються облігації, випущені від імені держави в цілому або від імені окремого органу державної влади.</w:t>
      </w:r>
    </w:p>
    <w:p w:rsidR="003D24A6" w:rsidRPr="009940A1" w:rsidRDefault="003D24A6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Як правило, від імені держави в цілому облігації випускаються Міністерством фінансів. Метою емісії цих облігацій є фінансування загальнодержавних або бюджетних потреб.</w:t>
      </w:r>
    </w:p>
    <w:p w:rsidR="003D24A6" w:rsidRPr="009940A1" w:rsidRDefault="003D24A6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Місцеві </w:t>
      </w:r>
      <w:r w:rsidRPr="009940A1">
        <w:rPr>
          <w:rFonts w:ascii="Times New Roman" w:hAnsi="Times New Roman" w:cs="Times New Roman"/>
          <w:sz w:val="24"/>
          <w:szCs w:val="24"/>
        </w:rPr>
        <w:t>облігації випускаються для забезпечення потреб місцевих бюджетів, а також для фінансування різних місцевих проектів. Емітентами цих облігацій є муніципальні органи всіх рівнів: областей, районів, міст, графств, округів.</w:t>
      </w:r>
    </w:p>
    <w:p w:rsidR="003D24A6" w:rsidRPr="009940A1" w:rsidRDefault="003D24A6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Інституційні </w:t>
      </w:r>
      <w:r w:rsidRPr="009940A1">
        <w:rPr>
          <w:rFonts w:ascii="Times New Roman" w:hAnsi="Times New Roman" w:cs="Times New Roman"/>
          <w:sz w:val="24"/>
          <w:szCs w:val="24"/>
        </w:rPr>
        <w:t>облігації випускаються юридичними особами, що в більшості випадків займаються підприємницькою діяльністю. Основною метою випуску таких облігацій є прагнення отримати грошові засоби, необхідні для фінансово-господарської діяльності.</w:t>
      </w:r>
    </w:p>
    <w:p w:rsidR="003D24A6" w:rsidRPr="009940A1" w:rsidRDefault="003D24A6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</w:t>
      </w:r>
      <w:r w:rsidRPr="009940A1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місцем реєстрації емітента та територією обігу</w:t>
      </w:r>
      <w:r w:rsidRPr="009940A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  <w:lang w:val="uk-UA"/>
        </w:rPr>
        <w:t>облігації поділяються на вітчизняні та іноземні. Якщо місце юрид</w:t>
      </w:r>
      <w:r w:rsidR="009940A1">
        <w:rPr>
          <w:rFonts w:ascii="Times New Roman" w:hAnsi="Times New Roman" w:cs="Times New Roman"/>
          <w:sz w:val="24"/>
          <w:szCs w:val="24"/>
          <w:lang w:val="uk-UA"/>
        </w:rPr>
        <w:t>ичної реєстрації головного офісу</w:t>
      </w:r>
      <w:r w:rsidRPr="009940A1">
        <w:rPr>
          <w:rFonts w:ascii="Times New Roman" w:hAnsi="Times New Roman" w:cs="Times New Roman"/>
          <w:sz w:val="24"/>
          <w:szCs w:val="24"/>
          <w:lang w:val="uk-UA"/>
        </w:rPr>
        <w:t xml:space="preserve"> емітента та територія, на якій обертаються випущені ним облігації, знаходяться під юрисдикцією однієї і тієї ж держави, то такі облігації вважаються </w:t>
      </w:r>
      <w:r w:rsidRPr="009940A1">
        <w:rPr>
          <w:rFonts w:ascii="Times New Roman" w:hAnsi="Times New Roman" w:cs="Times New Roman"/>
          <w:b/>
          <w:sz w:val="24"/>
          <w:szCs w:val="24"/>
          <w:lang w:val="uk-UA"/>
        </w:rPr>
        <w:t>вітчизняними</w:t>
      </w:r>
      <w:r w:rsidRPr="009940A1">
        <w:rPr>
          <w:rFonts w:ascii="Times New Roman" w:hAnsi="Times New Roman" w:cs="Times New Roman"/>
          <w:sz w:val="24"/>
          <w:szCs w:val="24"/>
          <w:lang w:val="uk-UA"/>
        </w:rPr>
        <w:t>; якщо вони знаходяться під юрисдикцією різних держав, то облігації</w:t>
      </w:r>
      <w:r w:rsidR="009F7FCD" w:rsidRPr="009940A1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9F7FCD" w:rsidRPr="009940A1">
        <w:rPr>
          <w:rFonts w:ascii="Times New Roman" w:hAnsi="Times New Roman" w:cs="Times New Roman"/>
          <w:b/>
          <w:sz w:val="24"/>
          <w:szCs w:val="24"/>
          <w:lang w:val="uk-UA"/>
        </w:rPr>
        <w:t>іноземними</w:t>
      </w:r>
      <w:r w:rsidR="009F7FCD" w:rsidRPr="009940A1">
        <w:rPr>
          <w:rFonts w:ascii="Times New Roman" w:hAnsi="Times New Roman" w:cs="Times New Roman"/>
          <w:sz w:val="24"/>
          <w:szCs w:val="24"/>
          <w:lang w:val="uk-UA"/>
        </w:rPr>
        <w:t xml:space="preserve"> на усіх фондових ринках, крім вітчизняного. </w:t>
      </w:r>
    </w:p>
    <w:p w:rsidR="009F7FCD" w:rsidRPr="009940A1" w:rsidRDefault="009F7FCD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i/>
          <w:sz w:val="24"/>
          <w:szCs w:val="24"/>
          <w:lang w:val="uk-UA"/>
        </w:rPr>
        <w:t>За методом виплати доходів.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Процентні </w:t>
      </w:r>
      <w:r w:rsidRPr="009940A1">
        <w:rPr>
          <w:rFonts w:ascii="Times New Roman" w:hAnsi="Times New Roman" w:cs="Times New Roman"/>
          <w:sz w:val="24"/>
          <w:szCs w:val="24"/>
        </w:rPr>
        <w:t>облігації – це облігації, за якими дохід виплачується у виді проценту. Процент нараховується відповідно до номінальної вартості конкретної облігації.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Процент – це винагорода, так звана премія власнику облігації. Тому в зарубіжній літературі процент називають премією, а процентні облігації – облігаціями з премією.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Дисконтними </w:t>
      </w:r>
      <w:r w:rsidRPr="009940A1">
        <w:rPr>
          <w:rFonts w:ascii="Times New Roman" w:hAnsi="Times New Roman" w:cs="Times New Roman"/>
          <w:sz w:val="24"/>
          <w:szCs w:val="24"/>
        </w:rPr>
        <w:t>вважаються облігації, дохід по яких для їх власника утворюється за рахунок різниці мі</w:t>
      </w:r>
      <w:r w:rsidR="009940A1">
        <w:rPr>
          <w:rFonts w:ascii="Times New Roman" w:hAnsi="Times New Roman" w:cs="Times New Roman"/>
          <w:sz w:val="24"/>
          <w:szCs w:val="24"/>
        </w:rPr>
        <w:t xml:space="preserve">ж ціною, за якою облігація </w:t>
      </w:r>
      <w:proofErr w:type="spellStart"/>
      <w:r w:rsidR="009940A1">
        <w:rPr>
          <w:rFonts w:ascii="Times New Roman" w:hAnsi="Times New Roman" w:cs="Times New Roman"/>
          <w:sz w:val="24"/>
          <w:szCs w:val="24"/>
        </w:rPr>
        <w:t>погаш</w:t>
      </w:r>
      <w:r w:rsidRPr="009940A1">
        <w:rPr>
          <w:rFonts w:ascii="Times New Roman" w:hAnsi="Times New Roman" w:cs="Times New Roman"/>
          <w:sz w:val="24"/>
          <w:szCs w:val="24"/>
        </w:rPr>
        <w:t>ується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емітентом, і ціною, за якою вона продається емітентом. Дисконтні облігації зазвичай випускаються на нетривалі строки.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Конвертовані </w:t>
      </w:r>
      <w:r w:rsidRPr="009940A1">
        <w:rPr>
          <w:rFonts w:ascii="Times New Roman" w:hAnsi="Times New Roman" w:cs="Times New Roman"/>
          <w:sz w:val="24"/>
          <w:szCs w:val="24"/>
        </w:rPr>
        <w:t>– це облігації, за якими грошовий дохід їх власнику не виплачується, а замість нього йому безкоштовно видають нові види цінних паперів.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Цільові </w:t>
      </w:r>
      <w:r w:rsidRPr="009940A1">
        <w:rPr>
          <w:rFonts w:ascii="Times New Roman" w:hAnsi="Times New Roman" w:cs="Times New Roman"/>
          <w:sz w:val="24"/>
          <w:szCs w:val="24"/>
        </w:rPr>
        <w:t xml:space="preserve">облігації випускаються у виді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займів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під відповідні товари і послуги і дають право їх власнику на придбання цих товарів і послуг замість одержання доходу.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Облігації з плаваючою ставкою </w:t>
      </w:r>
      <w:r w:rsidRPr="009940A1">
        <w:rPr>
          <w:rFonts w:ascii="Times New Roman" w:hAnsi="Times New Roman" w:cs="Times New Roman"/>
          <w:sz w:val="24"/>
          <w:szCs w:val="24"/>
        </w:rPr>
        <w:t>– це боргові інструменти, дохід за якими змінюється в залежності від зміни ринкового курсу і його періодично коректують таким чином, щоб його розмір перевищував базову ставку.</w:t>
      </w:r>
    </w:p>
    <w:p w:rsidR="009F7FCD" w:rsidRPr="009940A1" w:rsidRDefault="009F7FCD" w:rsidP="00994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Облігаціями, індексованими відносно ціни товару, </w:t>
      </w:r>
      <w:r w:rsidRPr="009940A1">
        <w:rPr>
          <w:rFonts w:ascii="Times New Roman" w:hAnsi="Times New Roman" w:cs="Times New Roman"/>
          <w:sz w:val="24"/>
          <w:szCs w:val="24"/>
          <w:lang w:val="uk-UA"/>
        </w:rPr>
        <w:t>вважаються облігації, що випускаються з метою захисту від інфляції і змінюються в залежності від зміни ціни на відповідний товар (золото).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Доходні </w:t>
      </w:r>
      <w:r w:rsidRPr="009940A1">
        <w:rPr>
          <w:rFonts w:ascii="Times New Roman" w:hAnsi="Times New Roman" w:cs="Times New Roman"/>
          <w:sz w:val="24"/>
          <w:szCs w:val="24"/>
        </w:rPr>
        <w:t>облігації – це такі облігації, дохід по яких виплачується тільки у тому випадку, коли корпорація – емітент отримує</w:t>
      </w:r>
      <w:r w:rsidRPr="009940A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>прибуток.</w:t>
      </w:r>
    </w:p>
    <w:p w:rsidR="009F7FCD" w:rsidRPr="009940A1" w:rsidRDefault="009F7FCD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9940A1"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b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b/>
          <w:sz w:val="24"/>
          <w:szCs w:val="24"/>
        </w:rPr>
        <w:t>дають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право на участь в </w:t>
      </w:r>
      <w:proofErr w:type="spellStart"/>
      <w:r w:rsidRPr="009940A1">
        <w:rPr>
          <w:rFonts w:ascii="Times New Roman" w:hAnsi="Times New Roman" w:cs="Times New Roman"/>
          <w:b/>
          <w:sz w:val="24"/>
          <w:szCs w:val="24"/>
        </w:rPr>
        <w:t>прибутках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40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облігації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окрім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гарантованого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фіксованого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проценту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право на участь в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прибутках</w:t>
      </w:r>
      <w:proofErr w:type="spellEnd"/>
      <w:r w:rsidRPr="009940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компанії-емітента</w:t>
      </w:r>
      <w:proofErr w:type="spellEnd"/>
      <w:r w:rsidRPr="009940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7FCD" w:rsidRPr="009940A1" w:rsidRDefault="009F7FCD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i/>
          <w:sz w:val="24"/>
          <w:szCs w:val="24"/>
          <w:lang w:val="uk-UA"/>
        </w:rPr>
        <w:t>За строками погашення</w:t>
      </w:r>
      <w:r w:rsidRPr="009940A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Строковими </w:t>
      </w:r>
      <w:r w:rsidRPr="009940A1">
        <w:rPr>
          <w:rFonts w:ascii="Times New Roman" w:hAnsi="Times New Roman" w:cs="Times New Roman"/>
          <w:sz w:val="24"/>
          <w:szCs w:val="24"/>
        </w:rPr>
        <w:t>вважаються облігації, випущені на конкретно визначений строк, після настання якого емітент зобов’язується їх погасити.</w:t>
      </w:r>
    </w:p>
    <w:p w:rsidR="009F7FCD" w:rsidRPr="009940A1" w:rsidRDefault="009F7FCD" w:rsidP="00994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0A1"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b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правом </w:t>
      </w:r>
      <w:proofErr w:type="spellStart"/>
      <w:r w:rsidRPr="009940A1">
        <w:rPr>
          <w:rFonts w:ascii="Times New Roman" w:hAnsi="Times New Roman" w:cs="Times New Roman"/>
          <w:b/>
          <w:sz w:val="24"/>
          <w:szCs w:val="24"/>
        </w:rPr>
        <w:t>дострокового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b/>
          <w:sz w:val="24"/>
          <w:szCs w:val="24"/>
        </w:rPr>
        <w:t>погашення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облігації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 за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емітент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дострокове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9940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>боргу.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Безстрокові </w:t>
      </w:r>
      <w:r w:rsidRPr="009940A1">
        <w:rPr>
          <w:rFonts w:ascii="Times New Roman" w:hAnsi="Times New Roman" w:cs="Times New Roman"/>
          <w:sz w:val="24"/>
          <w:szCs w:val="24"/>
        </w:rPr>
        <w:t>(вічні) облігації – це облігації, що випускаються емітентом без взяття зобов’язань по їх погашенню. Такі облігації не</w:t>
      </w:r>
    </w:p>
    <w:p w:rsidR="009F7FCD" w:rsidRPr="009940A1" w:rsidRDefault="009F7FCD" w:rsidP="009940A1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можуть бути дисконтними, а тільки процентними, причому річний процент має здатність змінюватися.</w:t>
      </w:r>
    </w:p>
    <w:p w:rsidR="009F7FCD" w:rsidRPr="009940A1" w:rsidRDefault="009F7FCD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i/>
          <w:sz w:val="24"/>
          <w:szCs w:val="24"/>
          <w:lang w:val="uk-UA"/>
        </w:rPr>
        <w:t>За ступенем надійності.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Забезпеченими </w:t>
      </w:r>
      <w:r w:rsidRPr="009940A1">
        <w:rPr>
          <w:rFonts w:ascii="Times New Roman" w:hAnsi="Times New Roman" w:cs="Times New Roman"/>
          <w:sz w:val="24"/>
          <w:szCs w:val="24"/>
        </w:rPr>
        <w:t>називають облігації, за якими емітент гарантує виконання своїх зобов’язань стосовно повернення основної суми боргу і виплати доходів по ньому. Як правило, ці облігації випускаються під заставу предметів нерухомості, майна корпорації, ліквідних та доходних цінних паперів.</w:t>
      </w:r>
    </w:p>
    <w:p w:rsidR="009F7FCD" w:rsidRPr="009940A1" w:rsidRDefault="009F7FCD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i/>
          <w:sz w:val="24"/>
          <w:szCs w:val="24"/>
          <w:lang w:val="uk-UA"/>
        </w:rPr>
        <w:t>За наявністю обмежень на обіг.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Група облігацій з </w:t>
      </w:r>
      <w:r w:rsidRPr="009940A1">
        <w:rPr>
          <w:rFonts w:ascii="Times New Roman" w:hAnsi="Times New Roman" w:cs="Times New Roman"/>
          <w:b/>
          <w:sz w:val="24"/>
          <w:szCs w:val="24"/>
        </w:rPr>
        <w:t xml:space="preserve">вільним обігом </w:t>
      </w:r>
      <w:r w:rsidRPr="009940A1">
        <w:rPr>
          <w:rFonts w:ascii="Times New Roman" w:hAnsi="Times New Roman" w:cs="Times New Roman"/>
          <w:sz w:val="24"/>
          <w:szCs w:val="24"/>
        </w:rPr>
        <w:t>включає облігації, операції з якими можна здійснювати без будь-яких обмежень.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Облігаціями з </w:t>
      </w:r>
      <w:r w:rsidRPr="009940A1">
        <w:rPr>
          <w:rFonts w:ascii="Times New Roman" w:hAnsi="Times New Roman" w:cs="Times New Roman"/>
          <w:b/>
          <w:sz w:val="24"/>
          <w:szCs w:val="24"/>
        </w:rPr>
        <w:t xml:space="preserve">обмеженим обігом </w:t>
      </w:r>
      <w:r w:rsidRPr="009940A1">
        <w:rPr>
          <w:rFonts w:ascii="Times New Roman" w:hAnsi="Times New Roman" w:cs="Times New Roman"/>
          <w:sz w:val="24"/>
          <w:szCs w:val="24"/>
        </w:rPr>
        <w:t>визнаються такі, умовами випуску яких передбачені певні обмеження на здійснення операцій з ними.</w:t>
      </w:r>
    </w:p>
    <w:p w:rsidR="009F7FCD" w:rsidRPr="009940A1" w:rsidRDefault="009F7FCD" w:rsidP="00994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b/>
          <w:sz w:val="24"/>
          <w:szCs w:val="24"/>
        </w:rPr>
        <w:t xml:space="preserve">без права на </w:t>
      </w:r>
      <w:proofErr w:type="spellStart"/>
      <w:r w:rsidRPr="009940A1">
        <w:rPr>
          <w:rFonts w:ascii="Times New Roman" w:hAnsi="Times New Roman" w:cs="Times New Roman"/>
          <w:b/>
          <w:sz w:val="24"/>
          <w:szCs w:val="24"/>
        </w:rPr>
        <w:t>обіг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відчуженими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.</w:t>
      </w:r>
    </w:p>
    <w:p w:rsidR="009F7FCD" w:rsidRPr="009940A1" w:rsidRDefault="009F7FCD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i/>
          <w:sz w:val="24"/>
          <w:szCs w:val="24"/>
          <w:lang w:val="uk-UA"/>
        </w:rPr>
        <w:t>За ієрархією вимог.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Облігації з перевагою </w:t>
      </w:r>
      <w:r w:rsidRPr="009940A1">
        <w:rPr>
          <w:rFonts w:ascii="Times New Roman" w:hAnsi="Times New Roman" w:cs="Times New Roman"/>
          <w:sz w:val="24"/>
          <w:szCs w:val="24"/>
        </w:rPr>
        <w:t>– це облігації, що мають перевагу в порівнянні з іншими облігаціями, випущеними тією ж компанією.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Молодші облігації </w:t>
      </w:r>
      <w:r w:rsidRPr="009940A1">
        <w:rPr>
          <w:rFonts w:ascii="Times New Roman" w:hAnsi="Times New Roman" w:cs="Times New Roman"/>
          <w:sz w:val="24"/>
          <w:szCs w:val="24"/>
        </w:rPr>
        <w:t>– це облігації, другорядні по відношенню до облігацій інших випусків, які у випадку ліквідації емітента дають менше прав на його активи і оплачуються після задоволення претензій по інших емісіях.</w:t>
      </w:r>
    </w:p>
    <w:p w:rsidR="009F7FCD" w:rsidRPr="009940A1" w:rsidRDefault="009F7FCD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Облігації високого рангу </w:t>
      </w:r>
      <w:r w:rsidRPr="009940A1">
        <w:rPr>
          <w:rFonts w:ascii="Times New Roman" w:hAnsi="Times New Roman" w:cs="Times New Roman"/>
          <w:sz w:val="24"/>
          <w:szCs w:val="24"/>
        </w:rPr>
        <w:t xml:space="preserve">– це облігації, які у випадку існування ієрархічності </w:t>
      </w:r>
      <w:r w:rsidRPr="009940A1">
        <w:rPr>
          <w:rFonts w:ascii="Times New Roman" w:hAnsi="Times New Roman" w:cs="Times New Roman"/>
          <w:sz w:val="24"/>
          <w:szCs w:val="24"/>
        </w:rPr>
        <w:lastRenderedPageBreak/>
        <w:t>вимог мають переваги в порівнянні з іншими облігаціями.</w:t>
      </w:r>
    </w:p>
    <w:p w:rsidR="009F7FCD" w:rsidRPr="009940A1" w:rsidRDefault="009F7FCD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40A1">
        <w:rPr>
          <w:rFonts w:ascii="Times New Roman" w:hAnsi="Times New Roman" w:cs="Times New Roman"/>
          <w:b/>
          <w:sz w:val="24"/>
          <w:szCs w:val="24"/>
        </w:rPr>
        <w:t>Старші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b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облігації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переважне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активи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позичальника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.</w:t>
      </w:r>
    </w:p>
    <w:p w:rsidR="009F7FCD" w:rsidRPr="009940A1" w:rsidRDefault="009F7FCD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7FCD" w:rsidRPr="009940A1" w:rsidRDefault="009F7FCD" w:rsidP="0099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940A1">
        <w:rPr>
          <w:rFonts w:ascii="Times New Roman" w:hAnsi="Times New Roman" w:cs="Times New Roman"/>
          <w:b/>
          <w:sz w:val="24"/>
          <w:szCs w:val="24"/>
          <w:lang w:val="uk-UA"/>
        </w:rPr>
        <w:t>Вартісна оцінка облігацій.</w:t>
      </w:r>
    </w:p>
    <w:p w:rsidR="00E47171" w:rsidRPr="009940A1" w:rsidRDefault="00E47171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Основними видами цін на облігації є номінальна, емісійна та ринкова ціна.</w:t>
      </w:r>
    </w:p>
    <w:p w:rsidR="00E47171" w:rsidRPr="009940A1" w:rsidRDefault="00E47171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Номінальна </w:t>
      </w:r>
      <w:r w:rsidRPr="009940A1">
        <w:rPr>
          <w:rFonts w:ascii="Times New Roman" w:hAnsi="Times New Roman" w:cs="Times New Roman"/>
          <w:sz w:val="24"/>
          <w:szCs w:val="24"/>
        </w:rPr>
        <w:t xml:space="preserve">ціна облігації встановлюється емітентом і визначається як розмір боргового зобов’язання, що надається кожною облігацією її власнику. Для паперових облігацій номінальна ціна вказується на їх бланках, для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непаперових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– це ціна, яку номінально має одна облігація.</w:t>
      </w:r>
    </w:p>
    <w:p w:rsidR="00E47171" w:rsidRPr="009940A1" w:rsidRDefault="00E47171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Емісійною </w:t>
      </w:r>
      <w:r w:rsidRPr="009940A1">
        <w:rPr>
          <w:rFonts w:ascii="Times New Roman" w:hAnsi="Times New Roman" w:cs="Times New Roman"/>
          <w:sz w:val="24"/>
          <w:szCs w:val="24"/>
        </w:rPr>
        <w:t>вважається ціна, за якою облігації випускаються на первинний ринок цінних паперів.</w:t>
      </w:r>
    </w:p>
    <w:p w:rsidR="009940A1" w:rsidRPr="009940A1" w:rsidRDefault="00E47171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b/>
          <w:sz w:val="24"/>
          <w:szCs w:val="24"/>
        </w:rPr>
        <w:t xml:space="preserve">Ринкова </w:t>
      </w:r>
      <w:r w:rsidRPr="009940A1">
        <w:rPr>
          <w:rFonts w:ascii="Times New Roman" w:hAnsi="Times New Roman" w:cs="Times New Roman"/>
          <w:sz w:val="24"/>
          <w:szCs w:val="24"/>
        </w:rPr>
        <w:t>ціна облігації – це ціна, яка складається під впливом співвідношення пропозиції та попиту на ринку облігацій та</w:t>
      </w:r>
      <w:r w:rsidR="009940A1" w:rsidRPr="009940A1">
        <w:rPr>
          <w:rFonts w:ascii="Times New Roman" w:hAnsi="Times New Roman" w:cs="Times New Roman"/>
          <w:sz w:val="24"/>
          <w:szCs w:val="24"/>
        </w:rPr>
        <w:t xml:space="preserve"> альтернативних цінних паперів. Це офіційно проголошена ціна на певний час на ринку щодо облігацій конкретних емітентів та конкретних випусків.</w:t>
      </w:r>
    </w:p>
    <w:p w:rsidR="009940A1" w:rsidRPr="009940A1" w:rsidRDefault="009940A1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Вартість облігацій залежить від грошового потоку, його динаміки та</w:t>
      </w:r>
      <w:r w:rsidRPr="009940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>ризику.</w:t>
      </w:r>
    </w:p>
    <w:p w:rsidR="009940A1" w:rsidRPr="009940A1" w:rsidRDefault="009940A1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Враховуючи ризик, пов’язаний із впливом фактору часу, майбутні платежі дисконтують. Якщо відомий термін і дисконтна ставка, то, знаючи майбутню вартість грошових доходів, можна визначити їх теперішню вартість (PV).</w:t>
      </w:r>
    </w:p>
    <w:p w:rsidR="009940A1" w:rsidRPr="009940A1" w:rsidRDefault="009940A1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i/>
          <w:sz w:val="24"/>
          <w:szCs w:val="24"/>
        </w:rPr>
        <w:t xml:space="preserve">Дисконтна ставка </w:t>
      </w:r>
      <w:r w:rsidRPr="009940A1">
        <w:rPr>
          <w:rFonts w:ascii="Times New Roman" w:hAnsi="Times New Roman" w:cs="Times New Roman"/>
          <w:sz w:val="24"/>
          <w:szCs w:val="24"/>
        </w:rPr>
        <w:t>– це процентна ставка, що застосовується для майбутніх платежів з метою врахування ризику. Слід пам’ятати що:</w:t>
      </w:r>
    </w:p>
    <w:p w:rsidR="009940A1" w:rsidRPr="009940A1" w:rsidRDefault="009940A1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доходи,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надійдуть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ізніше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вищу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дисконтну</w:t>
      </w:r>
      <w:proofErr w:type="spellEnd"/>
      <w:r w:rsidRPr="009940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>ставку;</w:t>
      </w:r>
    </w:p>
    <w:p w:rsidR="009940A1" w:rsidRPr="009940A1" w:rsidRDefault="009940A1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зменшує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дисконтну</w:t>
      </w:r>
      <w:proofErr w:type="spellEnd"/>
      <w:r w:rsidRPr="009940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0A1">
        <w:rPr>
          <w:rFonts w:ascii="Times New Roman" w:hAnsi="Times New Roman" w:cs="Times New Roman"/>
          <w:sz w:val="24"/>
          <w:szCs w:val="24"/>
        </w:rPr>
        <w:t>ставку;</w:t>
      </w:r>
    </w:p>
    <w:p w:rsidR="009940A1" w:rsidRPr="009940A1" w:rsidRDefault="009940A1" w:rsidP="009940A1">
      <w:pPr>
        <w:pStyle w:val="a3"/>
        <w:widowControl w:val="0"/>
        <w:numPr>
          <w:ilvl w:val="1"/>
          <w:numId w:val="3"/>
        </w:numPr>
        <w:tabs>
          <w:tab w:val="left" w:pos="7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зростанні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процентних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ставок на ринку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дисконтні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ставки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ідвищуються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.</w:t>
      </w:r>
    </w:p>
    <w:p w:rsidR="009940A1" w:rsidRPr="009940A1" w:rsidRDefault="009940A1" w:rsidP="009940A1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0A1">
        <w:rPr>
          <w:rFonts w:ascii="Times New Roman" w:hAnsi="Times New Roman" w:cs="Times New Roman"/>
          <w:sz w:val="24"/>
          <w:szCs w:val="24"/>
        </w:rPr>
        <w:t>Для визначення теперішньої вартості облігації необхідно:</w:t>
      </w:r>
    </w:p>
    <w:p w:rsidR="009940A1" w:rsidRPr="009940A1" w:rsidRDefault="009940A1" w:rsidP="009940A1">
      <w:pPr>
        <w:pStyle w:val="a3"/>
        <w:widowControl w:val="0"/>
        <w:numPr>
          <w:ilvl w:val="2"/>
          <w:numId w:val="3"/>
        </w:numPr>
        <w:tabs>
          <w:tab w:val="left" w:pos="1060"/>
          <w:tab w:val="left" w:pos="2263"/>
          <w:tab w:val="left" w:pos="3496"/>
          <w:tab w:val="left" w:pos="4486"/>
          <w:tab w:val="left" w:pos="584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обчислити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теперішню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40A1">
        <w:rPr>
          <w:rFonts w:ascii="Times New Roman" w:hAnsi="Times New Roman" w:cs="Times New Roman"/>
          <w:spacing w:val="-3"/>
          <w:sz w:val="24"/>
          <w:szCs w:val="24"/>
        </w:rPr>
        <w:t>фіксованих</w:t>
      </w:r>
      <w:proofErr w:type="spellEnd"/>
      <w:r w:rsidRPr="009940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проценті</w:t>
      </w:r>
      <w:proofErr w:type="gramStart"/>
      <w:r w:rsidRPr="009940A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9940A1" w:rsidRPr="009940A1" w:rsidRDefault="009940A1" w:rsidP="009940A1">
      <w:pPr>
        <w:pStyle w:val="a3"/>
        <w:widowControl w:val="0"/>
        <w:numPr>
          <w:ilvl w:val="2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обчислити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теперішню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номінальної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9940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;</w:t>
      </w:r>
    </w:p>
    <w:p w:rsidR="009940A1" w:rsidRPr="009940A1" w:rsidRDefault="009940A1" w:rsidP="009940A1">
      <w:pPr>
        <w:pStyle w:val="a3"/>
        <w:widowControl w:val="0"/>
        <w:numPr>
          <w:ilvl w:val="2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суму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теперішньої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номінальної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0A1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940A1">
        <w:rPr>
          <w:rFonts w:ascii="Times New Roman" w:hAnsi="Times New Roman" w:cs="Times New Roman"/>
          <w:sz w:val="24"/>
          <w:szCs w:val="24"/>
        </w:rPr>
        <w:t>ігації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теперішньої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9940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940A1">
        <w:rPr>
          <w:rFonts w:ascii="Times New Roman" w:hAnsi="Times New Roman" w:cs="Times New Roman"/>
          <w:sz w:val="24"/>
          <w:szCs w:val="24"/>
        </w:rPr>
        <w:t>процентів</w:t>
      </w:r>
      <w:proofErr w:type="spellEnd"/>
      <w:r w:rsidRPr="009940A1">
        <w:rPr>
          <w:rFonts w:ascii="Times New Roman" w:hAnsi="Times New Roman" w:cs="Times New Roman"/>
          <w:sz w:val="24"/>
          <w:szCs w:val="24"/>
        </w:rPr>
        <w:t>.</w:t>
      </w:r>
    </w:p>
    <w:p w:rsidR="00E47171" w:rsidRPr="009940A1" w:rsidRDefault="00E47171" w:rsidP="009940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7171" w:rsidRPr="009940A1" w:rsidRDefault="00E47171" w:rsidP="009940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E47171" w:rsidRPr="0099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FF7"/>
    <w:multiLevelType w:val="hybridMultilevel"/>
    <w:tmpl w:val="361C4960"/>
    <w:lvl w:ilvl="0" w:tplc="7B387E7E">
      <w:numFmt w:val="bullet"/>
      <w:lvlText w:val="*"/>
      <w:lvlJc w:val="left"/>
      <w:pPr>
        <w:ind w:left="325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uk-UA" w:eastAsia="en-US" w:bidi="ar-SA"/>
      </w:rPr>
    </w:lvl>
    <w:lvl w:ilvl="1" w:tplc="2DB02D1E">
      <w:numFmt w:val="bullet"/>
      <w:lvlText w:val=""/>
      <w:lvlJc w:val="left"/>
      <w:pPr>
        <w:ind w:left="241" w:hanging="140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2" w:tplc="39F86ABA">
      <w:numFmt w:val="bullet"/>
      <w:lvlText w:val="•"/>
      <w:lvlJc w:val="left"/>
      <w:pPr>
        <w:ind w:left="1072" w:hanging="140"/>
      </w:pPr>
      <w:rPr>
        <w:rFonts w:hint="default"/>
        <w:lang w:val="uk-UA" w:eastAsia="en-US" w:bidi="ar-SA"/>
      </w:rPr>
    </w:lvl>
    <w:lvl w:ilvl="3" w:tplc="CA76A8AA">
      <w:numFmt w:val="bullet"/>
      <w:lvlText w:val="•"/>
      <w:lvlJc w:val="left"/>
      <w:pPr>
        <w:ind w:left="1825" w:hanging="140"/>
      </w:pPr>
      <w:rPr>
        <w:rFonts w:hint="default"/>
        <w:lang w:val="uk-UA" w:eastAsia="en-US" w:bidi="ar-SA"/>
      </w:rPr>
    </w:lvl>
    <w:lvl w:ilvl="4" w:tplc="1F02E9F4">
      <w:numFmt w:val="bullet"/>
      <w:lvlText w:val="•"/>
      <w:lvlJc w:val="left"/>
      <w:pPr>
        <w:ind w:left="2577" w:hanging="140"/>
      </w:pPr>
      <w:rPr>
        <w:rFonts w:hint="default"/>
        <w:lang w:val="uk-UA" w:eastAsia="en-US" w:bidi="ar-SA"/>
      </w:rPr>
    </w:lvl>
    <w:lvl w:ilvl="5" w:tplc="FA58CA06">
      <w:numFmt w:val="bullet"/>
      <w:lvlText w:val="•"/>
      <w:lvlJc w:val="left"/>
      <w:pPr>
        <w:ind w:left="3330" w:hanging="140"/>
      </w:pPr>
      <w:rPr>
        <w:rFonts w:hint="default"/>
        <w:lang w:val="uk-UA" w:eastAsia="en-US" w:bidi="ar-SA"/>
      </w:rPr>
    </w:lvl>
    <w:lvl w:ilvl="6" w:tplc="C074AB18">
      <w:numFmt w:val="bullet"/>
      <w:lvlText w:val="•"/>
      <w:lvlJc w:val="left"/>
      <w:pPr>
        <w:ind w:left="4082" w:hanging="140"/>
      </w:pPr>
      <w:rPr>
        <w:rFonts w:hint="default"/>
        <w:lang w:val="uk-UA" w:eastAsia="en-US" w:bidi="ar-SA"/>
      </w:rPr>
    </w:lvl>
    <w:lvl w:ilvl="7" w:tplc="3FCE2EA6">
      <w:numFmt w:val="bullet"/>
      <w:lvlText w:val="•"/>
      <w:lvlJc w:val="left"/>
      <w:pPr>
        <w:ind w:left="4835" w:hanging="140"/>
      </w:pPr>
      <w:rPr>
        <w:rFonts w:hint="default"/>
        <w:lang w:val="uk-UA" w:eastAsia="en-US" w:bidi="ar-SA"/>
      </w:rPr>
    </w:lvl>
    <w:lvl w:ilvl="8" w:tplc="1BFAA650">
      <w:numFmt w:val="bullet"/>
      <w:lvlText w:val="•"/>
      <w:lvlJc w:val="left"/>
      <w:pPr>
        <w:ind w:left="5587" w:hanging="140"/>
      </w:pPr>
      <w:rPr>
        <w:rFonts w:hint="default"/>
        <w:lang w:val="uk-UA" w:eastAsia="en-US" w:bidi="ar-SA"/>
      </w:rPr>
    </w:lvl>
  </w:abstractNum>
  <w:abstractNum w:abstractNumId="1">
    <w:nsid w:val="3C426988"/>
    <w:multiLevelType w:val="hybridMultilevel"/>
    <w:tmpl w:val="F696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26A18"/>
    <w:multiLevelType w:val="hybridMultilevel"/>
    <w:tmpl w:val="63729254"/>
    <w:lvl w:ilvl="0" w:tplc="2BACA9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5E86"/>
    <w:multiLevelType w:val="hybridMultilevel"/>
    <w:tmpl w:val="FA82CEDA"/>
    <w:lvl w:ilvl="0" w:tplc="FDBCC4BE">
      <w:numFmt w:val="bullet"/>
      <w:lvlText w:val=""/>
      <w:lvlJc w:val="left"/>
      <w:pPr>
        <w:ind w:left="212" w:hanging="128"/>
      </w:pPr>
      <w:rPr>
        <w:rFonts w:ascii="Symbol" w:eastAsia="Symbol" w:hAnsi="Symbol" w:cs="Symbol" w:hint="default"/>
        <w:w w:val="100"/>
        <w:position w:val="11"/>
        <w:sz w:val="16"/>
        <w:szCs w:val="16"/>
        <w:lang w:val="uk-UA" w:eastAsia="en-US" w:bidi="ar-SA"/>
      </w:rPr>
    </w:lvl>
    <w:lvl w:ilvl="1" w:tplc="5AC0DEC2">
      <w:numFmt w:val="bullet"/>
      <w:lvlText w:val=""/>
      <w:lvlJc w:val="left"/>
      <w:pPr>
        <w:ind w:left="212" w:hanging="140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2" w:tplc="40D806F0">
      <w:numFmt w:val="bullet"/>
      <w:lvlText w:val=""/>
      <w:lvlJc w:val="left"/>
      <w:pPr>
        <w:ind w:left="1059" w:hanging="140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3" w:tplc="819A4E1C">
      <w:numFmt w:val="bullet"/>
      <w:lvlText w:val="•"/>
      <w:lvlJc w:val="left"/>
      <w:pPr>
        <w:ind w:left="1814" w:hanging="140"/>
      </w:pPr>
      <w:rPr>
        <w:rFonts w:hint="default"/>
        <w:lang w:val="uk-UA" w:eastAsia="en-US" w:bidi="ar-SA"/>
      </w:rPr>
    </w:lvl>
    <w:lvl w:ilvl="4" w:tplc="D7706BE2">
      <w:numFmt w:val="bullet"/>
      <w:lvlText w:val="•"/>
      <w:lvlJc w:val="left"/>
      <w:pPr>
        <w:ind w:left="2568" w:hanging="140"/>
      </w:pPr>
      <w:rPr>
        <w:rFonts w:hint="default"/>
        <w:lang w:val="uk-UA" w:eastAsia="en-US" w:bidi="ar-SA"/>
      </w:rPr>
    </w:lvl>
    <w:lvl w:ilvl="5" w:tplc="3CDC42B4">
      <w:numFmt w:val="bullet"/>
      <w:lvlText w:val="•"/>
      <w:lvlJc w:val="left"/>
      <w:pPr>
        <w:ind w:left="3322" w:hanging="140"/>
      </w:pPr>
      <w:rPr>
        <w:rFonts w:hint="default"/>
        <w:lang w:val="uk-UA" w:eastAsia="en-US" w:bidi="ar-SA"/>
      </w:rPr>
    </w:lvl>
    <w:lvl w:ilvl="6" w:tplc="533A3D52">
      <w:numFmt w:val="bullet"/>
      <w:lvlText w:val="•"/>
      <w:lvlJc w:val="left"/>
      <w:pPr>
        <w:ind w:left="4076" w:hanging="140"/>
      </w:pPr>
      <w:rPr>
        <w:rFonts w:hint="default"/>
        <w:lang w:val="uk-UA" w:eastAsia="en-US" w:bidi="ar-SA"/>
      </w:rPr>
    </w:lvl>
    <w:lvl w:ilvl="7" w:tplc="BEC403F2">
      <w:numFmt w:val="bullet"/>
      <w:lvlText w:val="•"/>
      <w:lvlJc w:val="left"/>
      <w:pPr>
        <w:ind w:left="4830" w:hanging="140"/>
      </w:pPr>
      <w:rPr>
        <w:rFonts w:hint="default"/>
        <w:lang w:val="uk-UA" w:eastAsia="en-US" w:bidi="ar-SA"/>
      </w:rPr>
    </w:lvl>
    <w:lvl w:ilvl="8" w:tplc="A20A0C4A">
      <w:numFmt w:val="bullet"/>
      <w:lvlText w:val="•"/>
      <w:lvlJc w:val="left"/>
      <w:pPr>
        <w:ind w:left="5584" w:hanging="1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compat>
    <w:useFELayout/>
  </w:compat>
  <w:rsids>
    <w:rsidRoot w:val="00BE5508"/>
    <w:rsid w:val="00117D74"/>
    <w:rsid w:val="003D24A6"/>
    <w:rsid w:val="009940A1"/>
    <w:rsid w:val="009F7FCD"/>
    <w:rsid w:val="00BE5508"/>
    <w:rsid w:val="00E4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550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E55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BE5508"/>
    <w:rPr>
      <w:rFonts w:ascii="Arial" w:eastAsia="Arial" w:hAnsi="Arial" w:cs="Arial"/>
      <w:sz w:val="20"/>
      <w:szCs w:val="20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9F7F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2020-02-23T07:18:00Z</dcterms:created>
  <dcterms:modified xsi:type="dcterms:W3CDTF">2020-02-23T07:31:00Z</dcterms:modified>
</cp:coreProperties>
</file>