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76"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cs="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lastRenderedPageBreak/>
        <w:t>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D825C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1DAE0DB" wp14:editId="54F10926">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8737D"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bookmarkStart w:id="0" w:name="_GoBack" w:colFirst="1" w:colLast="5"/>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bookmarkEnd w:id="0"/>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D1708">
        <w:rPr>
          <w:rFonts w:ascii="Times New Roman" w:hAnsi="Times New Roman" w:cs="Times New Roman"/>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w:t>
            </w:r>
            <w:r w:rsidRPr="008D1708">
              <w:rPr>
                <w:rFonts w:ascii="Times New Roman" w:hAnsi="Times New Roman" w:cs="Times New Roman"/>
                <w:sz w:val="28"/>
                <w:szCs w:val="28"/>
                <w:lang w:val="uk-UA"/>
              </w:rPr>
              <w:lastRenderedPageBreak/>
              <w:t>(загадка,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дитячі книжки казок, оповідань, віршів у виданнях з чітко вираженим поліграфічним оформленням (ілюстраціями, заголовком, графічним представленням </w:t>
            </w:r>
            <w:r w:rsidRPr="008D1708">
              <w:rPr>
                <w:rFonts w:ascii="Times New Roman" w:hAnsi="Times New Roman" w:cs="Times New Roman"/>
                <w:sz w:val="28"/>
                <w:szCs w:val="28"/>
                <w:lang w:val="uk-UA"/>
              </w:rPr>
              <w:lastRenderedPageBreak/>
              <w:t>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Сприймання і практичне розрізнення художніх </w:t>
            </w:r>
            <w:r w:rsidRPr="008D1708">
              <w:rPr>
                <w:rFonts w:ascii="Times New Roman" w:hAnsi="Times New Roman" w:cs="Times New Roman"/>
                <w:sz w:val="28"/>
                <w:szCs w:val="28"/>
                <w:lang w:val="uk-UA"/>
              </w:rPr>
              <w:lastRenderedPageBreak/>
              <w:t>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 xml:space="preserve">речення за малюнком, з поданих слів, </w:t>
            </w:r>
            <w:r w:rsidRPr="008D1708">
              <w:rPr>
                <w:rFonts w:ascii="Times New Roman" w:hAnsi="Times New Roman" w:cs="Times New Roman"/>
                <w:sz w:val="28"/>
                <w:szCs w:val="28"/>
                <w:lang w:val="uk-UA"/>
              </w:rPr>
              <w:lastRenderedPageBreak/>
              <w:t>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мовлення, етикетними нормами культури </w:t>
            </w:r>
            <w:r w:rsidRPr="008D1708">
              <w:rPr>
                <w:rFonts w:ascii="Times New Roman" w:hAnsi="Times New Roman" w:cs="Times New Roman"/>
                <w:sz w:val="28"/>
                <w:szCs w:val="28"/>
                <w:lang w:val="uk-UA"/>
              </w:rPr>
              <w:lastRenderedPageBreak/>
              <w:t>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ED7A0E"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 xml:space="preserve">зміст прочитаного зі своїми </w:t>
            </w:r>
            <w:r w:rsidRPr="008D1708">
              <w:rPr>
                <w:rFonts w:ascii="Times New Roman" w:hAnsi="Times New Roman" w:cs="Times New Roman"/>
                <w:sz w:val="28"/>
                <w:szCs w:val="28"/>
                <w:lang w:val="uk-UA"/>
              </w:rPr>
              <w:lastRenderedPageBreak/>
              <w:t>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w:t>
            </w:r>
            <w:r w:rsidRPr="008D1708">
              <w:rPr>
                <w:rFonts w:ascii="Times New Roman" w:hAnsi="Times New Roman" w:cs="Times New Roman"/>
                <w:sz w:val="28"/>
                <w:szCs w:val="28"/>
                <w:lang w:val="uk-UA"/>
              </w:rPr>
              <w:lastRenderedPageBreak/>
              <w:t xml:space="preserve">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lastRenderedPageBreak/>
              <w:t>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lastRenderedPageBreak/>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w:t>
            </w:r>
            <w:r w:rsidRPr="008D1708">
              <w:rPr>
                <w:rFonts w:ascii="Times New Roman" w:hAnsi="Times New Roman" w:cs="Times New Roman"/>
                <w:sz w:val="28"/>
                <w:szCs w:val="28"/>
                <w:lang w:val="uk-UA"/>
              </w:rPr>
              <w:lastRenderedPageBreak/>
              <w:t>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w:t>
            </w:r>
            <w:r w:rsidRPr="008D1708">
              <w:rPr>
                <w:rFonts w:ascii="Times New Roman" w:hAnsi="Times New Roman"/>
                <w:sz w:val="28"/>
                <w:szCs w:val="28"/>
                <w:lang w:val="uk-UA"/>
              </w:rPr>
              <w:lastRenderedPageBreak/>
              <w:t xml:space="preserve">«Магічні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lastRenderedPageBreak/>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w:t>
            </w:r>
            <w:r w:rsidRPr="008D1708">
              <w:rPr>
                <w:rFonts w:ascii="Times New Roman" w:hAnsi="Times New Roman" w:cs="Times New Roman"/>
                <w:sz w:val="28"/>
                <w:szCs w:val="28"/>
              </w:rPr>
              <w:lastRenderedPageBreak/>
              <w:t>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дбає, значення праці людей для </w:t>
            </w:r>
            <w:proofErr w:type="gramStart"/>
            <w:r w:rsidRPr="008D1708">
              <w:rPr>
                <w:rFonts w:ascii="Times New Roman" w:hAnsi="Times New Roman" w:cs="Times New Roman"/>
                <w:sz w:val="28"/>
                <w:szCs w:val="28"/>
              </w:rPr>
              <w:t>добробуту  країни</w:t>
            </w:r>
            <w:proofErr w:type="gramEnd"/>
            <w:r w:rsidRPr="008D1708">
              <w:rPr>
                <w:rFonts w:ascii="Times New Roman" w:hAnsi="Times New Roman" w:cs="Times New Roman"/>
                <w:sz w:val="28"/>
                <w:szCs w:val="28"/>
              </w:rPr>
              <w:t>;</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w:t>
            </w:r>
            <w:r w:rsidRPr="008D1708">
              <w:rPr>
                <w:rFonts w:ascii="Times New Roman" w:hAnsi="Times New Roman" w:cs="Times New Roman"/>
                <w:sz w:val="28"/>
                <w:szCs w:val="28"/>
              </w:rPr>
              <w:lastRenderedPageBreak/>
              <w:t xml:space="preserve">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w:t>
            </w:r>
            <w:r w:rsidRPr="008D1708">
              <w:rPr>
                <w:rFonts w:ascii="Times New Roman" w:hAnsi="Times New Roman" w:cs="Times New Roman"/>
                <w:sz w:val="28"/>
                <w:szCs w:val="28"/>
              </w:rPr>
              <w:lastRenderedPageBreak/>
              <w:t xml:space="preserve">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Стандарти поведінки в суспільстві. </w:t>
            </w:r>
            <w:r w:rsidRPr="008D1708">
              <w:rPr>
                <w:rFonts w:ascii="Times New Roman" w:hAnsi="Times New Roman" w:cs="Times New Roman"/>
                <w:sz w:val="28"/>
                <w:szCs w:val="28"/>
              </w:rPr>
              <w:lastRenderedPageBreak/>
              <w:t>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w:t>
            </w:r>
            <w:r w:rsidRPr="003C5FEC">
              <w:rPr>
                <w:rFonts w:ascii="Times New Roman" w:hAnsi="Times New Roman" w:cs="Times New Roman"/>
                <w:sz w:val="28"/>
                <w:szCs w:val="28"/>
              </w:rPr>
              <w:lastRenderedPageBreak/>
              <w:t xml:space="preserve">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lastRenderedPageBreak/>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ED7A0E"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 xml:space="preserve">об’єкт називаючи його </w:t>
            </w:r>
            <w:r w:rsidR="00A916AF" w:rsidRPr="008D1708">
              <w:rPr>
                <w:rFonts w:ascii="Times New Roman" w:hAnsi="Times New Roman" w:cs="Times New Roman"/>
                <w:sz w:val="28"/>
                <w:szCs w:val="28"/>
                <w:lang w:val="uk-UA"/>
              </w:rPr>
              <w:lastRenderedPageBreak/>
              <w:t>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w:t>
            </w:r>
            <w:r w:rsidRPr="008D1708">
              <w:rPr>
                <w:rFonts w:ascii="Times New Roman" w:hAnsi="Times New Roman" w:cs="Times New Roman"/>
                <w:sz w:val="28"/>
                <w:szCs w:val="28"/>
                <w:lang w:val="uk-UA"/>
              </w:rPr>
              <w:lastRenderedPageBreak/>
              <w:t>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 xml:space="preserve">з ручними інструментами та пристосуваннями, дотримуючись безпечних </w:t>
            </w:r>
            <w:r w:rsidRPr="00E71EAC">
              <w:rPr>
                <w:rFonts w:ascii="Times New Roman" w:hAnsi="Times New Roman"/>
                <w:sz w:val="28"/>
                <w:szCs w:val="28"/>
                <w:lang w:val="uk-UA"/>
              </w:rPr>
              <w:lastRenderedPageBreak/>
              <w:t>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lastRenderedPageBreak/>
              <w:t xml:space="preserve">Ручні інструменти та пристосування, </w:t>
            </w:r>
            <w:r w:rsidRPr="00E71EAC">
              <w:rPr>
                <w:rFonts w:ascii="Times New Roman" w:eastAsia="Calibri" w:hAnsi="Times New Roman" w:cs="Times New Roman"/>
                <w:sz w:val="28"/>
                <w:szCs w:val="28"/>
                <w:lang w:val="uk-UA"/>
              </w:rPr>
              <w:lastRenderedPageBreak/>
              <w:t>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w:t>
            </w:r>
            <w:r w:rsidRPr="00E71EAC">
              <w:rPr>
                <w:rFonts w:ascii="Times New Roman" w:hAnsi="Times New Roman"/>
                <w:sz w:val="28"/>
                <w:szCs w:val="28"/>
                <w:lang w:val="uk-UA"/>
              </w:rPr>
              <w:lastRenderedPageBreak/>
              <w:t>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lastRenderedPageBreak/>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Графічні зображення для </w:t>
            </w:r>
            <w:r w:rsidRPr="00E71EAC">
              <w:rPr>
                <w:rFonts w:ascii="Times New Roman" w:hAnsi="Times New Roman" w:cs="Times New Roman"/>
                <w:sz w:val="28"/>
                <w:szCs w:val="28"/>
                <w:lang w:val="uk-UA"/>
              </w:rPr>
              <w:lastRenderedPageBreak/>
              <w:t>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w:t>
            </w:r>
            <w:r w:rsidRPr="00E71EAC">
              <w:rPr>
                <w:rFonts w:ascii="Times New Roman" w:hAnsi="Times New Roman"/>
                <w:sz w:val="28"/>
                <w:szCs w:val="28"/>
                <w:lang w:val="uk-UA"/>
              </w:rPr>
              <w:lastRenderedPageBreak/>
              <w:t>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lastRenderedPageBreak/>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w:t>
            </w:r>
            <w:r w:rsidRPr="008D1708">
              <w:rPr>
                <w:rFonts w:ascii="Times New Roman" w:eastAsia="Times New Roman" w:hAnsi="Times New Roman" w:cs="Times New Roman"/>
                <w:color w:val="auto"/>
                <w:sz w:val="28"/>
                <w:szCs w:val="28"/>
              </w:rPr>
              <w:lastRenderedPageBreak/>
              <w:t>(створені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w:t>
            </w:r>
            <w:r w:rsidRPr="008D1708">
              <w:rPr>
                <w:rFonts w:ascii="Times New Roman" w:eastAsia="Times New Roman" w:hAnsi="Times New Roman" w:cs="Times New Roman"/>
                <w:color w:val="auto"/>
                <w:sz w:val="28"/>
                <w:szCs w:val="28"/>
              </w:rPr>
              <w:lastRenderedPageBreak/>
              <w:t>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(трикутники, бубни, барабан, </w:t>
            </w:r>
            <w:r w:rsidRPr="008D1708">
              <w:rPr>
                <w:rFonts w:ascii="Times New Roman" w:eastAsia="Times New Roman" w:hAnsi="Times New Roman" w:cs="Times New Roman"/>
                <w:color w:val="auto"/>
                <w:sz w:val="28"/>
                <w:szCs w:val="28"/>
              </w:rPr>
              <w:lastRenderedPageBreak/>
              <w:t>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w:t>
            </w:r>
            <w:proofErr w:type="gramStart"/>
            <w:r w:rsidRPr="008D1708">
              <w:rPr>
                <w:rFonts w:ascii="Times New Roman" w:eastAsia="Times New Roman" w:hAnsi="Times New Roman" w:cs="Times New Roman"/>
                <w:color w:val="auto"/>
                <w:sz w:val="28"/>
                <w:szCs w:val="28"/>
              </w:rPr>
              <w:t>   (</w:t>
            </w:r>
            <w:proofErr w:type="gramEnd"/>
            <w:r w:rsidRPr="008D1708">
              <w:rPr>
                <w:rFonts w:ascii="Times New Roman" w:eastAsia="Times New Roman" w:hAnsi="Times New Roman" w:cs="Times New Roman"/>
                <w:color w:val="auto"/>
                <w:sz w:val="28"/>
                <w:szCs w:val="28"/>
              </w:rPr>
              <w:t>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w:t>
            </w:r>
            <w:r w:rsidRPr="008D1708">
              <w:rPr>
                <w:rFonts w:ascii="Times New Roman" w:eastAsia="Times New Roman" w:hAnsi="Times New Roman" w:cs="Times New Roman"/>
                <w:color w:val="auto"/>
                <w:sz w:val="28"/>
                <w:szCs w:val="28"/>
              </w:rPr>
              <w:lastRenderedPageBreak/>
              <w:t xml:space="preserve">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w:t>
            </w:r>
            <w:r w:rsidRPr="008D1708">
              <w:rPr>
                <w:rFonts w:ascii="Times New Roman" w:eastAsia="Times New Roman" w:hAnsi="Times New Roman" w:cs="Times New Roman"/>
                <w:color w:val="auto"/>
                <w:sz w:val="28"/>
                <w:szCs w:val="28"/>
              </w:rPr>
              <w:lastRenderedPageBreak/>
              <w:t>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Колективне виконання творчого задуму (оформлення </w:t>
            </w:r>
            <w:r w:rsidRPr="008D1708">
              <w:rPr>
                <w:rFonts w:ascii="Times New Roman" w:eastAsia="Times New Roman" w:hAnsi="Times New Roman" w:cs="Times New Roman"/>
                <w:color w:val="auto"/>
                <w:sz w:val="28"/>
                <w:szCs w:val="28"/>
              </w:rPr>
              <w:lastRenderedPageBreak/>
              <w:t>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(нота, нотний стан, звук, тривалості (ціла, половинна, чверть, восьма), метр, розмір), має </w:t>
            </w:r>
            <w:r w:rsidRPr="008D1708">
              <w:rPr>
                <w:rFonts w:ascii="Times New Roman" w:eastAsia="Times New Roman" w:hAnsi="Times New Roman" w:cs="Times New Roman"/>
                <w:color w:val="auto"/>
                <w:sz w:val="28"/>
                <w:szCs w:val="28"/>
              </w:rPr>
              <w:lastRenderedPageBreak/>
              <w:t>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w:t>
            </w:r>
            <w:proofErr w:type="gramEnd"/>
            <w:r w:rsidRPr="008D1708">
              <w:rPr>
                <w:rFonts w:ascii="Times New Roman" w:eastAsia="Times New Roman" w:hAnsi="Times New Roman" w:cs="Times New Roman"/>
                <w:color w:val="auto"/>
                <w:sz w:val="28"/>
                <w:szCs w:val="28"/>
              </w:rPr>
              <w:t xml:space="preserve">,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Відтворення рухами характеру, темпу, ритму </w:t>
            </w:r>
            <w:r w:rsidRPr="008D1708">
              <w:rPr>
                <w:rFonts w:ascii="Times New Roman" w:eastAsia="Times New Roman" w:hAnsi="Times New Roman" w:cs="Times New Roman"/>
                <w:color w:val="auto"/>
                <w:sz w:val="28"/>
                <w:szCs w:val="28"/>
              </w:rPr>
              <w:lastRenderedPageBreak/>
              <w:t>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w:t>
            </w:r>
            <w:proofErr w:type="gramStart"/>
            <w:r w:rsidRPr="008D1708">
              <w:rPr>
                <w:rFonts w:ascii="Times New Roman" w:eastAsia="Times New Roman" w:hAnsi="Times New Roman" w:cs="Times New Roman"/>
                <w:color w:val="auto"/>
                <w:sz w:val="28"/>
                <w:szCs w:val="28"/>
              </w:rPr>
              <w:t>   (</w:t>
            </w:r>
            <w:proofErr w:type="gramEnd"/>
            <w:r w:rsidRPr="008D1708">
              <w:rPr>
                <w:rFonts w:ascii="Times New Roman" w:eastAsia="Times New Roman" w:hAnsi="Times New Roman" w:cs="Times New Roman"/>
                <w:color w:val="auto"/>
                <w:sz w:val="28"/>
                <w:szCs w:val="28"/>
              </w:rPr>
              <w:t>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w:t>
            </w:r>
            <w:r w:rsidRPr="008D1708">
              <w:rPr>
                <w:rFonts w:ascii="Times New Roman" w:eastAsia="Times New Roman" w:hAnsi="Times New Roman" w:cs="Times New Roman"/>
                <w:color w:val="auto"/>
                <w:sz w:val="28"/>
                <w:szCs w:val="28"/>
              </w:rPr>
              <w:lastRenderedPageBreak/>
              <w:t xml:space="preserve">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Виховні ситуації: обговорення (з допомогою вчителя) </w:t>
            </w:r>
            <w:r w:rsidRPr="008D1708">
              <w:rPr>
                <w:rFonts w:ascii="Times New Roman" w:eastAsia="Times New Roman" w:hAnsi="Times New Roman" w:cs="Times New Roman"/>
                <w:color w:val="auto"/>
                <w:sz w:val="28"/>
                <w:szCs w:val="28"/>
              </w:rPr>
              <w:lastRenderedPageBreak/>
              <w:t>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lastRenderedPageBreak/>
              <w:t>Рухова діяльність</w:t>
            </w:r>
          </w:p>
        </w:tc>
      </w:tr>
      <w:tr w:rsidR="003D76DF" w:rsidRPr="003531DA" w:rsidTr="003C5FEC">
        <w:tblPrEx>
          <w:tblLook w:val="0000" w:firstRow="0" w:lastRow="0" w:firstColumn="0" w:lastColumn="0" w:noHBand="0" w:noVBand="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lastRenderedPageBreak/>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firstRow="0" w:lastRow="0" w:firstColumn="0" w:lastColumn="0" w:noHBand="0" w:noVBand="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lastRenderedPageBreak/>
              <w:t>Вправи для розвитку фізичних якостей.</w:t>
            </w:r>
          </w:p>
        </w:tc>
      </w:tr>
      <w:tr w:rsidR="003D76DF" w:rsidRPr="003531DA" w:rsidTr="003C5FEC">
        <w:tblPrEx>
          <w:tblLook w:val="0000" w:firstRow="0" w:lastRow="0" w:firstColumn="0" w:lastColumn="0" w:noHBand="0" w:noVBand="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firstRow="0" w:lastRow="0" w:firstColumn="0" w:lastColumn="0" w:noHBand="0" w:noVBand="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firstRow="0" w:lastRow="0" w:firstColumn="0" w:lastColumn="0" w:noHBand="0" w:noVBand="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lastRenderedPageBreak/>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w:t>
            </w:r>
            <w:r w:rsidRPr="003531DA">
              <w:rPr>
                <w:rFonts w:ascii="Times New Roman" w:eastAsia="Times New Roman" w:hAnsi="Times New Roman" w:cs="Times New Roman"/>
                <w:sz w:val="28"/>
                <w:szCs w:val="28"/>
                <w:lang w:val="uk-UA" w:eastAsia="ru-RU"/>
              </w:rPr>
              <w:lastRenderedPageBreak/>
              <w:t>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w:t>
            </w:r>
            <w:r w:rsidRPr="003531DA">
              <w:rPr>
                <w:rFonts w:ascii="Times New Roman" w:eastAsia="Times New Roman" w:hAnsi="Times New Roman" w:cs="Times New Roman"/>
                <w:sz w:val="28"/>
                <w:szCs w:val="28"/>
                <w:lang w:val="uk-UA" w:eastAsia="ru-RU"/>
              </w:rPr>
              <w:lastRenderedPageBreak/>
              <w:t>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62CCA"/>
    <w:rsid w:val="000C0CBF"/>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741F"/>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728173-39C6-45C8-87F6-60AE091B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A6BF-77AB-4578-A0D1-B01C1F57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57</Pages>
  <Words>17089</Words>
  <Characters>97413</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2018-03-01T09:35:00Z</cp:lastPrinted>
  <dcterms:created xsi:type="dcterms:W3CDTF">2018-03-21T06:04:00Z</dcterms:created>
  <dcterms:modified xsi:type="dcterms:W3CDTF">2018-03-27T08:36:00Z</dcterms:modified>
</cp:coreProperties>
</file>