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BA" w:rsidRPr="0078245C" w:rsidRDefault="002172BA" w:rsidP="001A39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8245C"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 w:rsidRPr="0078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A5A34" w:rsidRDefault="002172BA" w:rsidP="007824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39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="00F76AB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A3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природні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A3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надра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. Проблема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природні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поверхні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1A3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надра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акумуляції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прибутків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експлуатації</w:t>
      </w:r>
      <w:proofErr w:type="spellEnd"/>
      <w:r w:rsidR="001A39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природних</w:t>
      </w:r>
      <w:proofErr w:type="spellEnd"/>
      <w:r w:rsidR="00EA5A34" w:rsidRPr="00782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ресурсі</w:t>
      </w:r>
      <w:proofErr w:type="gramStart"/>
      <w:r w:rsidR="00EA5A34" w:rsidRPr="0078245C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="00EA5A34" w:rsidRPr="0078245C">
        <w:rPr>
          <w:rFonts w:ascii="Times New Roman" w:hAnsi="Times New Roman" w:cs="Times New Roman"/>
          <w:b/>
          <w:sz w:val="28"/>
          <w:szCs w:val="28"/>
        </w:rPr>
        <w:t>.</w:t>
      </w:r>
    </w:p>
    <w:p w:rsidR="0078245C" w:rsidRPr="0078245C" w:rsidRDefault="0078245C" w:rsidP="007824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Інституціональною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основою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служить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2BA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основному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зношені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роль як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поновлювані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упевнений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міцності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усередині</w:t>
      </w:r>
      <w:proofErr w:type="spellEnd"/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але і на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ітовому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ринку.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платежі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ресурсами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лежати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владно-господарські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яко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вторинною</w:t>
      </w:r>
      <w:proofErr w:type="spellEnd"/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них. Плата за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вводиться без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прив'язки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довідносин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розмитих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собоюдостатньої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: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установлювати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;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доход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;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довіреній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;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;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продавати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здавати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 заставу і т.д.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lastRenderedPageBreak/>
        <w:t xml:space="preserve">Права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абсолютними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і держава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законодавчої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установлювати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характер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значимості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,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зв'язані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ресурсу,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 Вони, як правило, не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рентного доходу.</w:t>
      </w:r>
    </w:p>
    <w:p w:rsidR="00850D5D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поширена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закрі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плено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конституціях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того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загальновизнаного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факту,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геологорозвідувальні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видобуток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державах з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федеративним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устроєм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є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федеральний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уряд.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Канада й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, де права 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провінції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(штату)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поділені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суб'єктами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росту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базисні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,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геологорозвідувальних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видобутку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 Як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держава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приналежні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щонайкраще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</w:t>
      </w:r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обов'язкового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ідприємництва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державою і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сектором. Прерогатива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про те, як 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вивчатися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розвідуватись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видобутку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консервації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уряду США 70-80-х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максимального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енергетичної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1973-1975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розвідку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видобуток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ідприємствам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В одних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припускають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права і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розділені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розрізняються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Як правило,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спадкування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т.п.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права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мінеральні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так і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комерційну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подвійне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одного боку,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як товар,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продати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боку, вона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надбання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) як вода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,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права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компроміс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приватними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суспільними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акумуляції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прибутків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>.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природного сектора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яко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природоексплуатуючому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відрахувань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величина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плати,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динамічної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ренти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зафіксованих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податковому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непрямих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зафіксованих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 законах про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 До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покривають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іністративні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структур,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контроль за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підприємств-природокористувачів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,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диференціальної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ренти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собою плату за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іністративну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боку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сплачуються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права 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задовольняється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стягуються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лабораторний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геологічне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,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топографічну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зйомку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сертифікацію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т.п.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фонд, а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— 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Орендна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плата,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рента, 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плата за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виняткове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орендованою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землею. Вона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орендованої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власнику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— федеральному уряду (у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Австрал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Канаді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). Величина платежу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повинна бути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спекулятивне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земель, 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іноземним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ідприємцем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інтенсивного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припиненні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аналогічних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 себе 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батьківщині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стимул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експлуатаційним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спекуляцій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</w:t>
      </w:r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скарбницю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збором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диференціальної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ренти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орендна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плата</w:t>
      </w:r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мінімальному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Диференціальна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рента 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привілей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виснажуються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валової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виручки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, а</w:t>
      </w:r>
      <w:r w:rsidR="002172BA"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не з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чистого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плата за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то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—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непрямі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погодженому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>чистого доходу.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доходу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Через те,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видобутку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поновлюваних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скорочуватися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законодавствах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витратах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розвідку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мінеральної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процентне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в процентному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знижок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деякого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відтворюваних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ресурс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 доходу 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ресурсу.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строгому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обмеженні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сталим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приростом природного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імпорті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експорті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імпорт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платежу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приймаючої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Експортні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послабляти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ітовому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ринку. 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експортного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диференціальної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ренти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не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виторгу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металевих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руд і 10—20% — для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вуглеводневої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схованих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субсидій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видобувній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сектор, 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завищення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продажної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вершків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” з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виснаженням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82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експортного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лісові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експортного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8245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підкоряється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законам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значній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лібералізованому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.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245C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="002172BA" w:rsidRPr="0078245C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="002172BA" w:rsidRPr="0078245C">
        <w:rPr>
          <w:rFonts w:ascii="Times New Roman" w:hAnsi="Times New Roman" w:cs="Times New Roman"/>
          <w:b/>
          <w:i/>
          <w:sz w:val="28"/>
          <w:szCs w:val="28"/>
        </w:rPr>
        <w:t>самостійної</w:t>
      </w:r>
      <w:proofErr w:type="spellEnd"/>
      <w:r w:rsidR="002172BA" w:rsidRPr="007824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172BA" w:rsidRPr="0078245C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proofErr w:type="gramStart"/>
      <w:r w:rsidR="002172BA" w:rsidRPr="007824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245C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78245C">
        <w:rPr>
          <w:rFonts w:ascii="Times New Roman" w:hAnsi="Times New Roman" w:cs="Times New Roman"/>
        </w:rPr>
        <w:t xml:space="preserve"> </w:t>
      </w:r>
      <w:proofErr w:type="spellStart"/>
      <w:r w:rsidR="002E3E4E" w:rsidRPr="0078245C">
        <w:rPr>
          <w:rFonts w:ascii="Times New Roman" w:hAnsi="Times New Roman" w:cs="Times New Roman"/>
          <w:sz w:val="28"/>
          <w:szCs w:val="28"/>
        </w:rPr>
        <w:t>Вивчит</w:t>
      </w:r>
      <w:proofErr w:type="spellEnd"/>
      <w:r w:rsidR="002E3E4E" w:rsidRPr="007824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E3E4E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E4E" w:rsidRPr="0078245C">
        <w:rPr>
          <w:rFonts w:ascii="Times New Roman" w:hAnsi="Times New Roman" w:cs="Times New Roman"/>
          <w:sz w:val="28"/>
          <w:szCs w:val="28"/>
        </w:rPr>
        <w:t>додатков</w:t>
      </w:r>
      <w:proofErr w:type="spellEnd"/>
      <w:r w:rsidR="002E3E4E" w:rsidRPr="007824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8245C">
        <w:rPr>
          <w:rFonts w:ascii="Times New Roman" w:hAnsi="Times New Roman" w:cs="Times New Roman"/>
          <w:sz w:val="28"/>
          <w:szCs w:val="28"/>
        </w:rPr>
        <w:t xml:space="preserve"> тему «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Ресурсні</w:t>
      </w:r>
      <w:proofErr w:type="spellEnd"/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45C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7824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8245C">
        <w:rPr>
          <w:rFonts w:ascii="Times New Roman" w:hAnsi="Times New Roman" w:cs="Times New Roman"/>
          <w:sz w:val="28"/>
          <w:szCs w:val="28"/>
        </w:rPr>
        <w:t>».</w:t>
      </w:r>
    </w:p>
    <w:p w:rsidR="002E3E4E" w:rsidRPr="0078245C" w:rsidRDefault="002E3E4E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5C">
        <w:rPr>
          <w:rFonts w:ascii="Times New Roman" w:hAnsi="Times New Roman" w:cs="Times New Roman"/>
          <w:sz w:val="28"/>
          <w:szCs w:val="28"/>
          <w:lang w:val="uk-UA"/>
        </w:rPr>
        <w:t>1. Що означають права власності? Які обмеження держава встановлює на власність природними ресурсами?</w:t>
      </w:r>
      <w:r w:rsidR="0078245C" w:rsidRPr="0078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4E" w:rsidRPr="0078245C" w:rsidRDefault="002E3E4E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45C">
        <w:rPr>
          <w:rFonts w:ascii="Times New Roman" w:hAnsi="Times New Roman" w:cs="Times New Roman"/>
          <w:sz w:val="28"/>
          <w:szCs w:val="28"/>
          <w:lang w:val="uk-UA"/>
        </w:rPr>
        <w:t>2.Подвійне правове відношення до землі?</w:t>
      </w:r>
    </w:p>
    <w:p w:rsidR="002E3E4E" w:rsidRPr="0078245C" w:rsidRDefault="002E3E4E" w:rsidP="00782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3.Дайте визначення. Земельна </w:t>
      </w:r>
      <w:proofErr w:type="spellStart"/>
      <w:r w:rsidRPr="0078245C">
        <w:rPr>
          <w:rFonts w:ascii="Times New Roman" w:hAnsi="Times New Roman" w:cs="Times New Roman"/>
          <w:sz w:val="28"/>
          <w:szCs w:val="28"/>
          <w:lang w:val="uk-UA"/>
        </w:rPr>
        <w:t>рента-</w:t>
      </w:r>
      <w:proofErr w:type="spellEnd"/>
      <w:r w:rsidRPr="0078245C">
        <w:rPr>
          <w:rFonts w:ascii="Times New Roman" w:hAnsi="Times New Roman" w:cs="Times New Roman"/>
          <w:sz w:val="28"/>
          <w:szCs w:val="28"/>
          <w:lang w:val="uk-UA"/>
        </w:rPr>
        <w:t xml:space="preserve">… Диференціальна </w:t>
      </w:r>
      <w:proofErr w:type="spellStart"/>
      <w:r w:rsidRPr="0078245C">
        <w:rPr>
          <w:rFonts w:ascii="Times New Roman" w:hAnsi="Times New Roman" w:cs="Times New Roman"/>
          <w:sz w:val="28"/>
          <w:szCs w:val="28"/>
          <w:lang w:val="uk-UA"/>
        </w:rPr>
        <w:t>рента-</w:t>
      </w:r>
      <w:proofErr w:type="spellEnd"/>
      <w:r w:rsidRPr="0078245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A5A34" w:rsidRPr="0078245C" w:rsidRDefault="00EA5A34" w:rsidP="0078245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A5A34" w:rsidRPr="0078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3E"/>
    <w:rsid w:val="001A3982"/>
    <w:rsid w:val="002172BA"/>
    <w:rsid w:val="002E3E4E"/>
    <w:rsid w:val="0044391F"/>
    <w:rsid w:val="0078245C"/>
    <w:rsid w:val="00850D5D"/>
    <w:rsid w:val="009D623E"/>
    <w:rsid w:val="00EA5A34"/>
    <w:rsid w:val="00F7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2018-07-07T13:01:00Z</dcterms:created>
  <dcterms:modified xsi:type="dcterms:W3CDTF">2019-03-13T11:19:00Z</dcterms:modified>
</cp:coreProperties>
</file>