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D8" w:rsidRPr="00C649D8" w:rsidRDefault="00C649D8" w:rsidP="00C649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b/>
          <w:sz w:val="28"/>
          <w:szCs w:val="28"/>
          <w:lang w:val="uk-UA"/>
        </w:rPr>
        <w:t>МЕТОДИ І ЗАСОБИ ЗАХИСТУ ВІД ІОНІЗУЮЧОГО ВИПРОМІНЮВАННЯ</w:t>
      </w:r>
    </w:p>
    <w:p w:rsidR="00C649D8" w:rsidRPr="00C649D8" w:rsidRDefault="00C649D8" w:rsidP="00C649D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b/>
          <w:bCs/>
          <w:sz w:val="28"/>
          <w:szCs w:val="28"/>
          <w:lang w:val="uk-UA"/>
        </w:rPr>
        <w:t>5.1 Захист відстанню і часом</w:t>
      </w:r>
    </w:p>
    <w:p w:rsidR="00C649D8" w:rsidRPr="00C649D8" w:rsidRDefault="00C649D8" w:rsidP="00C649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49D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649D8" w:rsidRPr="00C649D8" w:rsidRDefault="00C649D8" w:rsidP="00C649D8">
      <w:pPr>
        <w:pStyle w:val="a4"/>
        <w:shd w:val="clear" w:color="auto" w:fill="FFFFFF"/>
        <w:spacing w:before="240" w:beforeAutospacing="0" w:after="240" w:afterAutospacing="0" w:line="300" w:lineRule="atLeast"/>
        <w:rPr>
          <w:i w:val="0"/>
          <w:color w:val="000000" w:themeColor="text1"/>
          <w:sz w:val="28"/>
          <w:szCs w:val="28"/>
        </w:rPr>
      </w:pPr>
      <w:r w:rsidRPr="00C649D8">
        <w:rPr>
          <w:i w:val="0"/>
          <w:color w:val="000000" w:themeColor="text1"/>
          <w:sz w:val="28"/>
          <w:szCs w:val="28"/>
        </w:rPr>
        <w:t>Включають      організаційні, гігієнічні, технічні  і  лікувально-профілактичні   заходи,  а саме:</w:t>
      </w:r>
    </w:p>
    <w:p w:rsidR="00C649D8" w:rsidRPr="00C649D8" w:rsidRDefault="00C649D8" w:rsidP="00C6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збільшення  відстані  між  оператором  і  джерелом;</w:t>
      </w:r>
    </w:p>
    <w:p w:rsidR="00C649D8" w:rsidRPr="00C649D8" w:rsidRDefault="00C649D8" w:rsidP="00C6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скорочення  тривалості  роботи  в  полі  випромінювання;</w:t>
      </w:r>
    </w:p>
    <w:p w:rsidR="00C649D8" w:rsidRPr="00C649D8" w:rsidRDefault="00C649D8" w:rsidP="00C6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екранування джерела  випромінювання;</w:t>
      </w:r>
    </w:p>
    <w:p w:rsidR="00C649D8" w:rsidRPr="00C649D8" w:rsidRDefault="00C649D8" w:rsidP="00C6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дистанційне  керування;</w:t>
      </w:r>
    </w:p>
    <w:p w:rsidR="00C649D8" w:rsidRPr="00C649D8" w:rsidRDefault="00C649D8" w:rsidP="00C6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використання  маніпуляторів  і  роботів;</w:t>
      </w:r>
    </w:p>
    <w:p w:rsidR="00C649D8" w:rsidRPr="00C649D8" w:rsidRDefault="00C649D8" w:rsidP="00C649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повна  автоматизація  технологічного  процесу;</w:t>
      </w:r>
    </w:p>
    <w:p w:rsidR="00C649D8" w:rsidRPr="00C649D8" w:rsidRDefault="00C649D8" w:rsidP="00C649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використання  засобів  індивідуального  захисту  і  попередження  знаком  радіаційної  небезпеки;</w:t>
      </w:r>
    </w:p>
    <w:p w:rsidR="00C649D8" w:rsidRPr="00C649D8" w:rsidRDefault="00C649D8" w:rsidP="00C649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постійний  контроль  за  рівнем  випромінювання  і  за  дозами  опромінення  персоналу.</w:t>
      </w:r>
    </w:p>
    <w:p w:rsidR="00C649D8" w:rsidRPr="00C649D8" w:rsidRDefault="00C649D8" w:rsidP="00C649D8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Захист  від  внутрішнього  опромінення  полягає  в  усуненні  безпосереднього  контакту   працюючих  з  радіоактивними речовинами і  запобіганні  попаданню  їх  в  повітря  робочої  зони.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C649D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Захист часом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досягається в результаті відповідної підготовки і організації робіт, складанням і дотриманням графіків, при яких час контакту з джерелами випромінювання  мінімальний.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C649D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Захист відстанню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роботі з радіоактивними речовинами незначної активності передбачає використання ручних   захватів і дистанційних універсальних маніпуляторів. Ручні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маніпуляційні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захвати передають рух і зусилля рук оператора на деяку відстань з відповідним збільшенням цих  зусиль. Видалені універсальні маніпулятори дозволяють виконувати різні операції по захвату і переміщенню  предметів, орієнтації їх під будь-яким кутом   і т. ін. Вони мають декілька мір свободи, ними можна управляти з великої відстані.   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Спостереження за роботою  маніпуляторів здійснюють за допомогою телевізійних систем, систем дзеркал і перископів. 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роботи з радіоактивними речовинами великої активності застосовують автоматизоване обладнання і системи дистанційного  керування. Ефективним способом захисту є екранування, яке дозволяє знижувати дозу опромінення на робочому місці до гранично допустимого рівня. </w:t>
      </w:r>
    </w:p>
    <w:p w:rsidR="00C649D8" w:rsidRPr="00C649D8" w:rsidRDefault="00C649D8" w:rsidP="00C649D8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5.2 Екранування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Захисні екрани від альфа-випромінювання, як правило, не застосовують, оскільки воно має малу  проникність.  Шар повітря в декілька сантиметрів або матеріалу в декілька міліметрів (скло, картон, фольга, одяг, гумові рукавички і та ін.) забезпечують досить повне поглинання випромінювання.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Для захисту від рентгенівського та гамма-випромінювання використовують матеріали з великою густиною: свинець, вольфрам, сталь. Чим більше густина, тим більш ефективність екрану. Закон поглинання рентгенівського або гамма-випромінювання речовиною має вид: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І = І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0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ехр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(-μd),                                                                              (8.1)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де μ – лінійний коефіцієнт ослаблення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випромінювння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-1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 4); d – товщина поглинаючого шару, м. 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Якщо заміст інтенсивності у наведену формулу підставити потужність поглиненої або експозиційної дози,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втд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залежності не зміниться. 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Товщину екрану d (м) у випадку вузького монохромного (що має одну довжину хвилі) пучка променів розраховують за формулою: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d =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ln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N/μ,                                                                                  (8.2)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де N – коефіцієнт, що показує, у скільки разів треба зменшити потужність випромінювання.  Захисні властивості різних матеріалів для квантів енергією 1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МеВ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надані у табл. 6.1.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Таблиця 6.1 – Захисні властивості різних матеріалів від фотонів 1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Мев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1834"/>
        <w:gridCol w:w="3372"/>
      </w:tblGrid>
      <w:tr w:rsidR="00C649D8" w:rsidRPr="00C649D8" w:rsidTr="00374C50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Матеріал  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Густина,кг/м³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Шар </w:t>
            </w:r>
            <w:proofErr w:type="spellStart"/>
            <w:r w:rsidRPr="00C64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напівослаблення</w:t>
            </w:r>
            <w:proofErr w:type="spellEnd"/>
            <w:r w:rsidRPr="00C64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см</w:t>
            </w:r>
          </w:p>
        </w:tc>
      </w:tr>
      <w:tr w:rsidR="00C649D8" w:rsidRPr="00C649D8" w:rsidTr="00374C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ooltip="Алюминий" w:history="1">
              <w:proofErr w:type="spellStart"/>
              <w:r w:rsidRPr="00C649D8">
                <w:rPr>
                  <w:rStyle w:val="a3"/>
                  <w:rFonts w:ascii="Times New Roman" w:eastAsiaTheme="majorEastAsia" w:hAnsi="Times New Roman" w:cs="Times New Roman"/>
                  <w:sz w:val="28"/>
                  <w:szCs w:val="28"/>
                  <w:lang w:val="uk-UA"/>
                </w:rPr>
                <w:t>Алюминій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2820</w:t>
            </w:r>
            <w:hyperlink r:id="rId6" w:anchor="cite_note-Snow-7" w:history="1"/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</w:tr>
      <w:tr w:rsidR="00C649D8" w:rsidRPr="00C649D8" w:rsidTr="00374C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ooltip="Бетон" w:history="1">
              <w:r w:rsidRPr="00C649D8">
                <w:rPr>
                  <w:rStyle w:val="a3"/>
                  <w:rFonts w:ascii="Times New Roman" w:eastAsiaTheme="majorEastAsia" w:hAnsi="Times New Roman" w:cs="Times New Roman"/>
                  <w:sz w:val="28"/>
                  <w:szCs w:val="28"/>
                  <w:lang w:val="uk-UA"/>
                </w:rPr>
                <w:t>Бетон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1,5-3,5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3,8-6,9</w:t>
            </w:r>
          </w:p>
        </w:tc>
      </w:tr>
      <w:tr w:rsidR="00C649D8" w:rsidRPr="00C649D8" w:rsidTr="00374C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tooltip="Вода" w:history="1">
              <w:r w:rsidRPr="00C649D8">
                <w:rPr>
                  <w:rStyle w:val="a3"/>
                  <w:rFonts w:ascii="Times New Roman" w:eastAsiaTheme="majorEastAsia" w:hAnsi="Times New Roman" w:cs="Times New Roman"/>
                  <w:sz w:val="28"/>
                  <w:szCs w:val="28"/>
                  <w:lang w:val="uk-UA"/>
                </w:rPr>
                <w:t>Вода</w:t>
              </w:r>
            </w:hyperlink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~10</w:t>
            </w:r>
          </w:p>
        </w:tc>
      </w:tr>
      <w:tr w:rsidR="00C649D8" w:rsidRPr="00C649D8" w:rsidTr="00374C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tooltip="Воздух" w:history="1">
              <w:r w:rsidRPr="00C649D8">
                <w:rPr>
                  <w:rStyle w:val="a3"/>
                  <w:rFonts w:ascii="Times New Roman" w:eastAsiaTheme="majorEastAsia" w:hAnsi="Times New Roman" w:cs="Times New Roman"/>
                  <w:sz w:val="28"/>
                  <w:szCs w:val="28"/>
                  <w:lang w:val="uk-UA"/>
                </w:rPr>
                <w:t>Повітря</w:t>
              </w:r>
            </w:hyperlink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1,29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~8500</w:t>
            </w:r>
          </w:p>
        </w:tc>
      </w:tr>
      <w:tr w:rsidR="00C649D8" w:rsidRPr="00C649D8" w:rsidTr="00374C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tooltip="Вольфрам" w:history="1">
              <w:r w:rsidRPr="00C649D8">
                <w:rPr>
                  <w:rStyle w:val="a3"/>
                  <w:rFonts w:ascii="Times New Roman" w:eastAsiaTheme="majorEastAsia" w:hAnsi="Times New Roman" w:cs="Times New Roman"/>
                  <w:sz w:val="28"/>
                  <w:szCs w:val="28"/>
                  <w:lang w:val="uk-UA"/>
                </w:rPr>
                <w:t>Вольфрам</w:t>
              </w:r>
            </w:hyperlink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19300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0,33</w:t>
            </w:r>
          </w:p>
        </w:tc>
      </w:tr>
      <w:tr w:rsidR="00C649D8" w:rsidRPr="00C649D8" w:rsidTr="00374C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tooltip="Обеднённый уран" w:history="1">
              <w:r w:rsidRPr="00C649D8">
                <w:rPr>
                  <w:rStyle w:val="a3"/>
                  <w:rFonts w:ascii="Times New Roman" w:eastAsiaTheme="majorEastAsia" w:hAnsi="Times New Roman" w:cs="Times New Roman"/>
                  <w:sz w:val="28"/>
                  <w:szCs w:val="28"/>
                  <w:lang w:val="uk-UA"/>
                </w:rPr>
                <w:t>Збіднений уран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19500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0,28</w:t>
            </w:r>
          </w:p>
        </w:tc>
      </w:tr>
      <w:tr w:rsidR="00C649D8" w:rsidRPr="00C649D8" w:rsidTr="00374C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tooltip="Свинец" w:history="1">
              <w:r w:rsidRPr="00C649D8">
                <w:rPr>
                  <w:rStyle w:val="a3"/>
                  <w:rFonts w:ascii="Times New Roman" w:eastAsiaTheme="majorEastAsia" w:hAnsi="Times New Roman" w:cs="Times New Roman"/>
                  <w:sz w:val="28"/>
                  <w:szCs w:val="28"/>
                  <w:lang w:val="uk-UA"/>
                </w:rPr>
                <w:t>Свинец</w:t>
              </w:r>
            </w:hyperlink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11350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</w:tr>
      <w:tr w:rsidR="00C649D8" w:rsidRPr="00C649D8" w:rsidTr="00374C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tooltip="Сталь" w:history="1">
              <w:r w:rsidRPr="00C649D8">
                <w:rPr>
                  <w:rStyle w:val="a3"/>
                  <w:rFonts w:ascii="Times New Roman" w:eastAsiaTheme="majorEastAsia" w:hAnsi="Times New Roman" w:cs="Times New Roman"/>
                  <w:sz w:val="28"/>
                  <w:szCs w:val="28"/>
                  <w:lang w:val="uk-UA"/>
                </w:rPr>
                <w:t>Сталь</w:t>
              </w:r>
            </w:hyperlink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7,5-8,05</w:t>
            </w:r>
          </w:p>
        </w:tc>
        <w:tc>
          <w:tcPr>
            <w:tcW w:w="0" w:type="auto"/>
            <w:vAlign w:val="center"/>
            <w:hideMark/>
          </w:tcPr>
          <w:p w:rsidR="00C649D8" w:rsidRPr="00C649D8" w:rsidRDefault="00C649D8" w:rsidP="00374C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1,27</w:t>
            </w:r>
            <w:r w:rsidRPr="00C6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</w:tr>
    </w:tbl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У разі широкого пучка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випромінювння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або якщо має місце діапазон довжин хвиль, застосовують номограми або таблиці. Наприклад, товщину екрану з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свинця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сталі для захисту від прямого гамма-випромінювання можна визначити за рис. (Додаток 6).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Пряме і розсіяне рентгенівське випромінювання. При напрузі на аноді рентгенівської трубки 75 ...300 кВ товщина захисного екрану зі свинцю, бетону визначається за даними додатку 6 залежно від коефіцієнта k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= 2 I / R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(категорія А) і k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= I / 10 R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(категорія Б), де I - сила струму в трубці,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мA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R - відстань між трубкою і робітником.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Для захисних екранів від бета-часток малих енергій застосовують алюміній, скло, плексиглас,  інший облицювальний матеріал з малою атомною масою.  У випадку екранування бета-часток високих енергій в матеріалі екрану виникає 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гальмівне рентгенівське або гамма-випромінювання, яке враховують при виготовленні екранів.   При цьому застосовуються подвійні екрани. Другий шар      виготовляють з матеріалів з великою атомною масою і великою щільністю (свинець, вольфрам). Для стаціонарних споруд застосовують бетон,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баритобетон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чавун, сталь, які одночасно є елементами будівельних конструкцій. 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Захист від нейтронного випромінювання. Шар половинного ослаблення легких матеріалів для нейтронного випромінювання в кілька разів менше, ніж для важких. І навпаки, важкі матеріали, наприклад метали, гірше послаблюють нейтронне випромінювання, ніж гамма-випромінювання.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Кращими для захисту від нейтронного випромінювання є  графіт і матеріали, що мають у своїй будові атоми водню. Зазвичай застосовують воду, парафін, поліетилен. Крім того, теплове нейтронне випромінювання добре поглинається бором, берилієм, кадмієм. Оскільки нейтронні випромінювання супроводжуються гамма-випромінюваннями, необхідно застосовувати багатошарові екрани з різних матеріалів: свинець-поліетилен, сталь - вода тощо. У ряді випадків для одночасного поглинання нейтронного і гамма-випромінювань застосовують водні розчини гідроксидів важких металів, наприклад, гідроксид заліза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Fe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(OH)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3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Застосовують захисні екрани різних конструкцій: стаціонарні, пересувні, розбірні, настільні.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Всякі роботи з радіоактивними ізотопами, а також технічне обслуговування приладів і установок, в яких використовуються ізотопи, необхідно виконувати в спеціально обладнаних окремих приміщеннях з санітарно-технічним устаткуванням і системою вентиляції. Роботу на установках з радіоактивними ізотопами слід виконувати особам не молодше 18 років, що пройшли спеціальне навчання, у тому числі і безпечним  методам роботи на установці Всім працівникам необхідно знаходитися під постійним медичним спостереженням, їм регламентується тривалість робочого дня, видають спецодяг, прилади індивідуального  дозиметричного контролю. </w:t>
      </w:r>
    </w:p>
    <w:p w:rsidR="00C649D8" w:rsidRPr="00C649D8" w:rsidRDefault="00C649D8" w:rsidP="00C649D8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Безпека при роботі з радіоактивними речовинами залежить багато в чому від своєчасного виявлення і виміру рівня випромінювання, яке виконують спеціальними приладами, що використовують різні методи: іонізаційний, сцинтиляційний, фотографічний, хімічний і люмінесцентний. Для виміру 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альфа-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бета-</w:t>
      </w:r>
      <w:proofErr w:type="spellEnd"/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гамма-випромінювання і рентгенівського, а також теплових нейтронів застосовують універсальні радіометри. При роботі з радіоактивними речовинами велике значення має також застосування засобів індивідуального захисту. Вони призначені для оберігання шкіри від забруднень радіоактивними речовинами і запобіганню   попадання їх всередину організму. Одночасно вони забезпечують захист від альфа-випром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C649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нювання і частково від бета-випромінювання. Засобами індивідуального захисту є: спецодяг, рукавички, респіратори, що ізолюють пневмокостюми, чоботи . 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b/>
          <w:sz w:val="28"/>
          <w:szCs w:val="28"/>
          <w:lang w:val="uk-UA"/>
        </w:rPr>
        <w:t>Прилади для вимірювання параметрів ІВ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sz w:val="28"/>
          <w:szCs w:val="28"/>
          <w:lang w:val="uk-UA"/>
        </w:rPr>
        <w:t xml:space="preserve">Потужності дози фотонного випромінювання в робочих приміщеннях вимірюється різними </w:t>
      </w:r>
      <w:proofErr w:type="spellStart"/>
      <w:r w:rsidRPr="00C649D8">
        <w:rPr>
          <w:rFonts w:ascii="Times New Roman" w:hAnsi="Times New Roman" w:cs="Times New Roman"/>
          <w:sz w:val="28"/>
          <w:szCs w:val="28"/>
          <w:lang w:val="uk-UA"/>
        </w:rPr>
        <w:t>дозиметрическими</w:t>
      </w:r>
      <w:proofErr w:type="spellEnd"/>
      <w:r w:rsidRPr="00C649D8">
        <w:rPr>
          <w:rFonts w:ascii="Times New Roman" w:hAnsi="Times New Roman" w:cs="Times New Roman"/>
          <w:sz w:val="28"/>
          <w:szCs w:val="28"/>
          <w:lang w:val="uk-UA"/>
        </w:rPr>
        <w:t xml:space="preserve"> приладами стаціонарного і переносного типу. Всі вживані для цих цілей дозиметричні прилади принципово мало відрізняються один від одного. Вони складаються з наступних складових частин: датчика з першим каскадом посилення і вимірювального блоку, що складається з підсилювача постійного струму, блоку живлення і вимірювального приладу. Наявність кабелів дозволяє виносити вимірювальний блок від місця розташування датчика на деяку відстань, що забезпечує безпеку персоналу при проведенні вимірювань.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sz w:val="28"/>
          <w:szCs w:val="28"/>
          <w:lang w:val="uk-UA"/>
        </w:rPr>
        <w:t xml:space="preserve">Дозиметр </w:t>
      </w:r>
      <w:proofErr w:type="spellStart"/>
      <w:r w:rsidRPr="00C649D8">
        <w:rPr>
          <w:rFonts w:ascii="Times New Roman" w:hAnsi="Times New Roman" w:cs="Times New Roman"/>
          <w:sz w:val="28"/>
          <w:szCs w:val="28"/>
          <w:lang w:val="uk-UA"/>
        </w:rPr>
        <w:t>КДГ</w:t>
      </w:r>
      <w:proofErr w:type="spellEnd"/>
      <w:r w:rsidRPr="00C649D8">
        <w:rPr>
          <w:rFonts w:ascii="Times New Roman" w:hAnsi="Times New Roman" w:cs="Times New Roman"/>
          <w:sz w:val="28"/>
          <w:szCs w:val="28"/>
          <w:lang w:val="uk-UA"/>
        </w:rPr>
        <w:t>-1 (див. Рис. ) призначений для вимірювання потужності експозиційної дози гамма-випромінювання і індикації наявності бета-випромінювання при проведенні дозиметричного контролю.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Дозиметр забезпечує вимірювання потужності експозиційної дози гамма-випромінювання   в  діапазоні  від  0,1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мР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/ год.  до  1000  Р / год.   (7,17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пА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/кг … 71,7 мкА/кг). Діапазон вимірювання розбитий на 7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піддіапазонів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Дозиметр забезпечує індикацію наявності жорсткого (більше 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lastRenderedPageBreak/>
        <w:t xml:space="preserve">0,4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МеВ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) β-випромінювання, починаючи від щільності потоку частинок 600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част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 / хв.см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vertAlign w:val="superscript"/>
          <w:lang w:val="uk-UA"/>
        </w:rPr>
        <w:t>2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(10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vertAlign w:val="superscript"/>
          <w:lang w:val="uk-UA"/>
        </w:rPr>
        <w:t>5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vertAlign w:val="superscript"/>
          <w:lang w:val="uk-UA"/>
        </w:rPr>
        <w:t>-1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vertAlign w:val="superscript"/>
          <w:lang w:val="uk-UA"/>
        </w:rPr>
        <w:t>-2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) при вимірюванні на чутливому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піддіапазоні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-  1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мР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/ год. 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Принцип дії дозиметра заснований на вимірюванні середньої частоти проходження електричних імпульсів, які виникають в блоці детектування в результаті впливу гамма-квантів на лічильники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Гейгера-Мюллера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, використовувані в приладі в якості детекторів випромінювання.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1660" cy="3832860"/>
            <wp:effectExtent l="19050" t="0" r="0" b="0"/>
            <wp:docPr id="1" name="Рисунок 1" descr="R11_0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11_03_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D8" w:rsidRPr="00C649D8" w:rsidRDefault="00C649D8" w:rsidP="00C649D8">
      <w:pPr>
        <w:spacing w:line="360" w:lineRule="auto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Рисунок .. – Дозиметр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КДГ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-1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Електричні імпульси від блоку детектування, швидкість проходження яких пропорційна величині зовнішнього випромінювання, надходять по кабелю на вимірювальний пульт, де вони нормалізуються по амплітуді і реєструються вимірювачем швидкості рахунку.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lastRenderedPageBreak/>
        <w:t xml:space="preserve">Напруга на інтегруючому конденсаторі, пропорційна середній частоті надходження вхідних імпульсів, вимірюється вольтметром з великим вхідним опором. Відлік проводиться по стрілочному приладу, шкала якого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відградуйована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у відповідних одиницях виміру.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Дозиметр ДРГ-01-Т призначений для вимірювання потужності експозиційної дози на робочих місцях, на території підприємств, що використовують радіоактивні речовини та інші джерела іонізуючих випромінювань, в санітарно-захисній зоні та зоні спостереження. Крім того, дозиметр може бути використаний для контролю ефективності біологічного захисту, радіаційних упаковок і радіоактивних відходів, а також виміру потужності експозиційної дози в період виникнення, протікання і ліквідації наслідків аварійних ситуацій.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Вимірювання потужності експозиційної дози здійснюється в двох режимах роботи:</w:t>
      </w:r>
    </w:p>
    <w:p w:rsidR="00C649D8" w:rsidRPr="00C649D8" w:rsidRDefault="00C649D8" w:rsidP="00C649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в режимі "ПОШУК"; забезпечує вимірювання потужності експозиційної дози в діапазоні від 0,10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мР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/ год. до 99,99 Р / год.</w:t>
      </w:r>
    </w:p>
    <w:p w:rsidR="00C649D8" w:rsidRPr="00C649D8" w:rsidRDefault="00C649D8" w:rsidP="00C649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в режимі "ВИМІР" забезпечує вимірювання потужності експозиційної дози в діапазоні від 0,010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мР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/ год. до 9,999 Р / год.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Як детектори випромінювання використані чотири газорозрядних лічильника СБМ-20 і два лічильника СІ34Г (СІ40Г) з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коригуючими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свинцевими фільтрами для вирівнювання енергетичної залежності чутливості.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Для вимірювання потужності дози або щільності потоку бета-випромінювання зазвичай використовують ті ж прилади, що і для вимірювання фотонного випромінювання, але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відградуйовані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відповідними бета-випромінювачами. Найбільш широко для цих цілей застосовують прилади з газорозрядними лічильниками. У змішаних полях випромінювання внесок бета-випромінювання визначається різницею між показаннями 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lastRenderedPageBreak/>
        <w:t>приладу при впливі на датчик всіх видів випромінювання і його показанням при повному екранування датчика від бета-випромінювання.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Для вимірювання потужності еквівалентної дози нейтронів використовують як стаціонарні, так і переносні радіометри зі спеціальними датчиками. Як правило, при нормальному режимі роботи реакторної установки в ряді випадків досить встановити співвідношення між дозою нейтронів і дозою, створюваної гамма-випромінюванням в різних приміщеннях, а потім обмежитися тільки контролем рівнів гамма-випромінювання.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Вимірювач потужності еквівалентної дози нейтронів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КДН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-2 призначений для вимірювання потужності еквівалентної дози нейтронів при проведенні дозиметричного контролю До складу приладу входять - пульт вимірювальний, блок детектування БДМН-01, кабель довжиною 1,5 метри. Діапазон вимірювання - від 0,05 до 5000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мкбер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/ с (0,5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нЗв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… 50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мкЗв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).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Принцип дії вимірювача заснований на вимірюванні середньої швидкості підрахунку імпульсів, що надходять з блоку детектування при опроміненні детектора нейтронами. Електричні імпульси від блоку детектування, швидкість проходження яких пропорційна величині зовнішнього випромінювання, надходять по кабелю на вимірювальний пульт, де вони нормуються по амплітуді і реєструються вимірювачем швидкості рахунку. Відлік проводиться по стрілочному приладу, шкала якого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відградуйована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у відповідних одиницях вимірювання.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Конструктивно вимірник виконаний у вигляді вимірювального пульта і виносних блоків детектування. В якості детектора в блоці детектування використовується детектор теплових нейтронів БДМН-01, оточений сповільнювачем з поліетилену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Реєстрація сцинтиляцій, що відбуваються в детекторі, при опроміненні його нейтронами, здійснюється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фотопомножувачем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lastRenderedPageBreak/>
        <w:t>Поверхні при забрудненні їх радіоактивними речовинами стають джерелами зовнішнього іонізуючого випромінювання, а контакт з ними призводить до забруднення працюючих. У зв'язку з цим повинен проводитися систематичний контроль за рівнем забруднення поверхонь.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При проведенні контролю зручно розглядати два види забруднення поверхонь: нефіксоване (знімається) і фіксоване (не знімається).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Нефіксована забрудненість є джерелом забруднення повітря, води та інших предметів; поверхні з фіксованим забрудненням є джерелом тільки зовнішнього випромінювання.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З метою контролю радіоактивного забруднення робочих поверхонь плани всіх таких поверхонь наносять на спеціальні картограми. На картограмах вказуються контрольні точки. Кожна точка періодично за графіком перевіряється на забруднення.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Вимірювання поверхонь слід починати з вимірювання гамма-фону. При наявності останнього слід переконатися, що він створюється саме досліджуваною поверхнею, а не відбитим або розсіяним випромінюванням. Для цього користуються щілинним детектором. Потім визначається нефіксоване забруднення поверхні методом мазків. Метод дозволяє визначити лише порядок величини забруднення, а не його точне значення.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Радіаційний контроль за нерозповсюдженням радіоактивних забруднень включає в себе контроль стаціонарними і переносними приладами, а також контроль забрудненості поверхонь методом мазків.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Наведемо приклад стаціонарного приладу.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Багатоканальна установка для контролю і сигналізації про забруднення одягу і ділянок тіла людини бета-активними речовинами РЗБ-04-04 (рис. …) призначена для сигналізації перевищення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порогового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рівня забрудненості бета-активними радіонуклідами основного спецодягу (на виході з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lastRenderedPageBreak/>
        <w:t>гермооб'єму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на входах в гардероби спецодягу) або шкірних покривів персоналу (на виході з душових в зону вільного режиму і в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машзалі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).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Установка оснащена 12-16 блоками детектування бета-частинок.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Компенсація фону до 0,4 </w:t>
      </w:r>
      <w:proofErr w:type="spellStart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мкР</w:t>
      </w:r>
      <w:proofErr w:type="spellEnd"/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/ с здійснюється автоматично. Час вимірювання фіксований і не перевищує 4 с. Є плавне регулювання порога спрацьовування сигналізації, який встановлюється по зразковим джерелам бета-випромінювання (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vertAlign w:val="superscript"/>
          <w:lang w:val="uk-UA"/>
        </w:rPr>
        <w:t>90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Sr + 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vertAlign w:val="superscript"/>
          <w:lang w:val="uk-UA"/>
        </w:rPr>
        <w:t>90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Y) з площею активної поверхні до 160 см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vertAlign w:val="superscript"/>
          <w:lang w:val="uk-UA"/>
        </w:rPr>
        <w:t>2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Установка виконана у вигляді двох стійок і підстави з блоками детектування і блоку обробки інформації, змонтованого в типовому кожусі.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Установка забезпечує примусовий контроль забрудненості, а також світлову і звукову сигналізацію про перевищення заданого порогу. 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0" cy="4076700"/>
            <wp:effectExtent l="0" t="0" r="0" b="0"/>
            <wp:docPr id="2" name="Рисунок 2" descr="R11_04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11_04_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D8" w:rsidRPr="00C649D8" w:rsidRDefault="00C649D8" w:rsidP="00C649D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49D8">
        <w:rPr>
          <w:rFonts w:ascii="Times New Roman" w:hAnsi="Times New Roman" w:cs="Times New Roman"/>
          <w:sz w:val="28"/>
          <w:szCs w:val="28"/>
          <w:lang w:val="uk-UA"/>
        </w:rPr>
        <w:t xml:space="preserve">Рисунок .. - </w:t>
      </w:r>
      <w:r w:rsidRPr="00C649D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Багатоканальна установка РЗБ-04-04</w:t>
      </w:r>
    </w:p>
    <w:p w:rsidR="00C649D8" w:rsidRPr="00C649D8" w:rsidRDefault="00C649D8" w:rsidP="00C649D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395F65" w:rsidRPr="00C649D8" w:rsidRDefault="00395F6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95F65" w:rsidRPr="00C6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66A5"/>
    <w:multiLevelType w:val="hybridMultilevel"/>
    <w:tmpl w:val="36B66E5E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BC0C4C"/>
    <w:multiLevelType w:val="multilevel"/>
    <w:tmpl w:val="389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C3262"/>
    <w:multiLevelType w:val="multilevel"/>
    <w:tmpl w:val="1B1C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9D8"/>
    <w:rsid w:val="00395F65"/>
    <w:rsid w:val="00C6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9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C649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0" TargetMode="External"/><Relationship Id="rId13" Type="http://schemas.openxmlformats.org/officeDocument/2006/relationships/hyperlink" Target="https://ru.wikipedia.org/wiki/%D0%A1%D1%82%D0%B0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1%82%D0%BE%D0%BD" TargetMode="External"/><Relationship Id="rId12" Type="http://schemas.openxmlformats.org/officeDocument/2006/relationships/hyperlink" Target="https://ru.wikipedia.org/wiki/%D0%A1%D0%B2%D0%B8%D0%BD%D0%B5%D1%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0%D0%BC%D0%BC%D0%B0-%D0%B8%D0%B7%D0%BB%D1%83%D1%87%D0%B5%D0%BD%D0%B8%D0%B5" TargetMode="External"/><Relationship Id="rId11" Type="http://schemas.openxmlformats.org/officeDocument/2006/relationships/hyperlink" Target="https://ru.wikipedia.org/wiki/%D0%9E%D0%B1%D0%B5%D0%B4%D0%BD%D1%91%D0%BD%D0%BD%D1%8B%D0%B9_%D1%83%D1%80%D0%B0%D0%BD" TargetMode="External"/><Relationship Id="rId5" Type="http://schemas.openxmlformats.org/officeDocument/2006/relationships/hyperlink" Target="https://ru.wikipedia.org/wiki/%D0%90%D0%BB%D1%8E%D0%BC%D0%B8%D0%BD%D0%B8%D0%B9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ru.wikipedia.org/wiki/%D0%92%D0%BE%D0%BB%D1%8C%D1%84%D1%80%D0%B0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7%D0%B4%D1%83%D1%85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2359</Words>
  <Characters>13449</Characters>
  <Application>Microsoft Office Word</Application>
  <DocSecurity>0</DocSecurity>
  <Lines>112</Lines>
  <Paragraphs>31</Paragraphs>
  <ScaleCrop>false</ScaleCrop>
  <Company>USN Team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2020-05-04T10:12:00Z</dcterms:created>
  <dcterms:modified xsi:type="dcterms:W3CDTF">2020-05-04T10:14:00Z</dcterms:modified>
</cp:coreProperties>
</file>