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70349B" w14:textId="41DF4FC8" w:rsidR="00CA0CC4" w:rsidRPr="0077135F" w:rsidRDefault="00CA0CC4" w:rsidP="00CA0CC4">
      <w:pPr>
        <w:pStyle w:val="a3"/>
        <w:spacing w:line="240" w:lineRule="auto"/>
        <w:rPr>
          <w:rFonts w:ascii="Cambria" w:hAnsi="Cambria"/>
        </w:rPr>
      </w:pPr>
      <w:r w:rsidRPr="0077135F">
        <w:rPr>
          <w:rFonts w:ascii="Cambria" w:hAnsi="Cambria"/>
        </w:rPr>
        <w:t>ТЕМА 5</w:t>
      </w:r>
    </w:p>
    <w:p w14:paraId="6CDC98B7" w14:textId="5AAA9482" w:rsidR="00CA0CC4" w:rsidRPr="0077135F" w:rsidRDefault="00CA0CC4" w:rsidP="00CA0CC4">
      <w:pPr>
        <w:pStyle w:val="a3"/>
        <w:spacing w:line="240" w:lineRule="auto"/>
        <w:rPr>
          <w:rFonts w:ascii="Cambria" w:hAnsi="Cambria"/>
        </w:rPr>
      </w:pPr>
      <w:r w:rsidRPr="0077135F">
        <w:rPr>
          <w:rFonts w:ascii="Cambria" w:hAnsi="Cambria"/>
          <w:bCs/>
          <w:iCs/>
        </w:rPr>
        <w:t>ВНУТРІШНЄ (ТРАНСФЕРТНЕ) ЦІНОУТВОРЕННЯ</w:t>
      </w:r>
    </w:p>
    <w:p w14:paraId="65DBA25C" w14:textId="77777777" w:rsidR="00CA0CC4" w:rsidRPr="0077135F" w:rsidRDefault="00CA0CC4" w:rsidP="00CA0CC4">
      <w:pPr>
        <w:pStyle w:val="a3"/>
        <w:spacing w:line="240" w:lineRule="auto"/>
        <w:jc w:val="right"/>
        <w:rPr>
          <w:rFonts w:ascii="Cambria" w:hAnsi="Cambria"/>
          <w:b w:val="0"/>
        </w:rPr>
      </w:pPr>
    </w:p>
    <w:p w14:paraId="66E83AAA" w14:textId="51775B10" w:rsidR="00CA0CC4" w:rsidRPr="0077135F" w:rsidRDefault="00CA0CC4" w:rsidP="00CA0CC4">
      <w:pPr>
        <w:tabs>
          <w:tab w:val="left" w:pos="709"/>
          <w:tab w:val="left" w:pos="993"/>
        </w:tabs>
        <w:ind w:firstLine="709"/>
        <w:jc w:val="both"/>
        <w:rPr>
          <w:rFonts w:ascii="Cambria" w:hAnsi="Cambria"/>
          <w:sz w:val="28"/>
          <w:szCs w:val="28"/>
          <w:lang w:val="uk-UA" w:eastAsia="uk-UA"/>
        </w:rPr>
      </w:pPr>
      <w:r w:rsidRPr="0077135F">
        <w:rPr>
          <w:rFonts w:ascii="Cambria" w:hAnsi="Cambria"/>
          <w:sz w:val="28"/>
          <w:szCs w:val="28"/>
          <w:lang w:val="uk-UA" w:eastAsia="uk-UA"/>
        </w:rPr>
        <w:t>1.</w:t>
      </w:r>
      <w:r w:rsidR="007F3412">
        <w:rPr>
          <w:rFonts w:ascii="Cambria" w:hAnsi="Cambria"/>
          <w:sz w:val="28"/>
          <w:szCs w:val="28"/>
          <w:lang w:val="uk-UA" w:eastAsia="uk-UA"/>
        </w:rPr>
        <w:t xml:space="preserve"> Історія формування, с</w:t>
      </w:r>
      <w:r w:rsidRPr="0077135F">
        <w:rPr>
          <w:rFonts w:ascii="Cambria" w:hAnsi="Cambria"/>
          <w:sz w:val="28"/>
          <w:szCs w:val="28"/>
          <w:lang w:val="uk-UA" w:eastAsia="uk-UA"/>
        </w:rPr>
        <w:t>утність, необхідність і функції трансфертного ціноутворення.</w:t>
      </w:r>
    </w:p>
    <w:p w14:paraId="761F74BB" w14:textId="7401D777" w:rsidR="00CA0CC4" w:rsidRPr="0077135F" w:rsidRDefault="00CA0CC4" w:rsidP="00CA0CC4">
      <w:pPr>
        <w:tabs>
          <w:tab w:val="left" w:pos="709"/>
          <w:tab w:val="left" w:pos="993"/>
        </w:tabs>
        <w:ind w:firstLine="709"/>
        <w:jc w:val="both"/>
        <w:rPr>
          <w:rFonts w:ascii="Cambria" w:hAnsi="Cambria"/>
          <w:sz w:val="28"/>
          <w:szCs w:val="28"/>
          <w:lang w:val="uk-UA" w:eastAsia="uk-UA"/>
        </w:rPr>
      </w:pPr>
      <w:r w:rsidRPr="0077135F">
        <w:rPr>
          <w:rFonts w:ascii="Cambria" w:hAnsi="Cambria"/>
          <w:sz w:val="28"/>
          <w:szCs w:val="28"/>
          <w:lang w:val="uk-UA" w:eastAsia="uk-UA"/>
        </w:rPr>
        <w:t>2. Методи трансфертного ціноутворення.</w:t>
      </w:r>
    </w:p>
    <w:p w14:paraId="60B47FBF" w14:textId="77777777" w:rsidR="00CA0CC4" w:rsidRPr="0077135F" w:rsidRDefault="00CA0CC4" w:rsidP="00314398">
      <w:pPr>
        <w:jc w:val="both"/>
        <w:rPr>
          <w:rFonts w:ascii="Cambria" w:hAnsi="Cambria"/>
          <w:sz w:val="28"/>
          <w:szCs w:val="28"/>
          <w:lang w:val="uk-UA" w:eastAsia="uk-UA"/>
        </w:rPr>
      </w:pPr>
    </w:p>
    <w:p w14:paraId="4460C025" w14:textId="46BA08A9" w:rsidR="00CA0CC4" w:rsidRPr="0077135F" w:rsidRDefault="0077135F" w:rsidP="00CA0CC4">
      <w:pPr>
        <w:pStyle w:val="a3"/>
        <w:spacing w:line="240" w:lineRule="auto"/>
        <w:jc w:val="both"/>
        <w:rPr>
          <w:rFonts w:ascii="Cambria" w:hAnsi="Cambria"/>
          <w:bCs/>
          <w:lang w:val="ru-RU"/>
        </w:rPr>
      </w:pPr>
      <w:r w:rsidRPr="0077135F">
        <w:rPr>
          <w:rFonts w:ascii="Cambria" w:hAnsi="Cambria"/>
          <w:bCs/>
          <w:lang w:val="ru-RU"/>
        </w:rPr>
        <w:t>ПИТАННЯ 1</w:t>
      </w:r>
    </w:p>
    <w:p w14:paraId="12800445" w14:textId="77777777" w:rsidR="00CA0CC4" w:rsidRPr="0077135F" w:rsidRDefault="00CA0CC4" w:rsidP="00CA0CC4">
      <w:pPr>
        <w:pStyle w:val="a3"/>
        <w:spacing w:line="240" w:lineRule="auto"/>
        <w:jc w:val="both"/>
        <w:rPr>
          <w:rFonts w:ascii="Cambria" w:hAnsi="Cambria"/>
          <w:b w:val="0"/>
        </w:rPr>
      </w:pPr>
    </w:p>
    <w:p w14:paraId="1B5B1B8F" w14:textId="6496AB82" w:rsidR="00810AE7" w:rsidRDefault="00AE3D1D" w:rsidP="00271AF0">
      <w:pPr>
        <w:ind w:firstLine="709"/>
        <w:jc w:val="both"/>
        <w:rPr>
          <w:rFonts w:ascii="Cambria" w:hAnsi="Cambria"/>
          <w:sz w:val="28"/>
          <w:szCs w:val="28"/>
          <w:lang w:val="uk-UA" w:eastAsia="uk-UA"/>
        </w:rPr>
      </w:pPr>
      <w:r>
        <w:rPr>
          <w:rFonts w:ascii="Cambria" w:hAnsi="Cambria"/>
          <w:b/>
          <w:sz w:val="28"/>
          <w:szCs w:val="28"/>
          <w:lang w:val="uk-UA" w:eastAsia="uk-UA"/>
        </w:rPr>
        <w:t>Історія формування, с</w:t>
      </w:r>
      <w:r w:rsidR="00CA0CC4" w:rsidRPr="0077135F">
        <w:rPr>
          <w:rFonts w:ascii="Cambria" w:hAnsi="Cambria"/>
          <w:b/>
          <w:sz w:val="28"/>
          <w:szCs w:val="28"/>
          <w:lang w:val="uk-UA" w:eastAsia="uk-UA"/>
        </w:rPr>
        <w:t>утність, необхідність і функції трансфертного ціноутворення</w:t>
      </w:r>
      <w:r w:rsidR="00563E97">
        <w:rPr>
          <w:rFonts w:ascii="Cambria" w:hAnsi="Cambria"/>
          <w:b/>
          <w:sz w:val="28"/>
          <w:szCs w:val="28"/>
          <w:lang w:val="uk-UA" w:eastAsia="uk-UA"/>
        </w:rPr>
        <w:t xml:space="preserve"> (макро- та мікрорівень)</w:t>
      </w:r>
      <w:r w:rsidR="00271AF0">
        <w:rPr>
          <w:rFonts w:ascii="Cambria" w:hAnsi="Cambria"/>
          <w:b/>
          <w:sz w:val="28"/>
          <w:szCs w:val="28"/>
          <w:lang w:val="uk-UA" w:eastAsia="uk-UA"/>
        </w:rPr>
        <w:t xml:space="preserve">. </w:t>
      </w:r>
      <w:r w:rsidR="00AA5DBE" w:rsidRPr="00AA5DBE">
        <w:rPr>
          <w:rFonts w:ascii="Cambria" w:hAnsi="Cambria"/>
          <w:sz w:val="28"/>
          <w:szCs w:val="28"/>
          <w:lang w:val="uk-UA" w:eastAsia="uk-UA"/>
        </w:rPr>
        <w:t xml:space="preserve">Загалом, система трансфертного ціноутворення забезпечує наступні функції. </w:t>
      </w:r>
    </w:p>
    <w:p w14:paraId="23944727" w14:textId="77777777" w:rsidR="00810AE7" w:rsidRDefault="00AA5DBE" w:rsidP="00CA0CC4">
      <w:pPr>
        <w:autoSpaceDE w:val="0"/>
        <w:autoSpaceDN w:val="0"/>
        <w:adjustRightInd w:val="0"/>
        <w:ind w:firstLine="709"/>
        <w:jc w:val="both"/>
        <w:rPr>
          <w:rFonts w:ascii="Cambria" w:hAnsi="Cambria"/>
          <w:sz w:val="28"/>
          <w:szCs w:val="28"/>
          <w:lang w:val="uk-UA" w:eastAsia="uk-UA"/>
        </w:rPr>
      </w:pPr>
      <w:r w:rsidRPr="00AA5DBE">
        <w:rPr>
          <w:rFonts w:ascii="Cambria" w:hAnsi="Cambria"/>
          <w:sz w:val="28"/>
          <w:szCs w:val="28"/>
          <w:lang w:val="uk-UA" w:eastAsia="uk-UA"/>
        </w:rPr>
        <w:t xml:space="preserve">1. Надає інформацію, що стимулює менеджерів підрозділів приймати обґрунтовані економічні рішення. Це відбувається за умови, що дії, які здійснюють менеджери підрозділів, щоб поліпшити показники прибутку у звітах про діяльність своїх підрозділів, також збільшують значення прибутку підприємства в цілому. </w:t>
      </w:r>
    </w:p>
    <w:p w14:paraId="13B699F8" w14:textId="77777777" w:rsidR="00810AE7" w:rsidRDefault="00AA5DBE" w:rsidP="00CA0CC4">
      <w:pPr>
        <w:autoSpaceDE w:val="0"/>
        <w:autoSpaceDN w:val="0"/>
        <w:adjustRightInd w:val="0"/>
        <w:ind w:firstLine="709"/>
        <w:jc w:val="both"/>
        <w:rPr>
          <w:rFonts w:ascii="Cambria" w:hAnsi="Cambria"/>
          <w:sz w:val="28"/>
          <w:szCs w:val="28"/>
          <w:lang w:val="uk-UA" w:eastAsia="uk-UA"/>
        </w:rPr>
      </w:pPr>
      <w:r w:rsidRPr="00AA5DBE">
        <w:rPr>
          <w:rFonts w:ascii="Cambria" w:hAnsi="Cambria"/>
          <w:sz w:val="28"/>
          <w:szCs w:val="28"/>
          <w:lang w:val="uk-UA" w:eastAsia="uk-UA"/>
        </w:rPr>
        <w:t xml:space="preserve">2. Надає інформацію, яка корисна для оцінки управлінських і економічних показників діяльності підрозділів. </w:t>
      </w:r>
    </w:p>
    <w:p w14:paraId="5352BD5B" w14:textId="77777777" w:rsidR="00810AE7" w:rsidRDefault="00AA5DBE" w:rsidP="00CA0CC4">
      <w:pPr>
        <w:autoSpaceDE w:val="0"/>
        <w:autoSpaceDN w:val="0"/>
        <w:adjustRightInd w:val="0"/>
        <w:ind w:firstLine="709"/>
        <w:jc w:val="both"/>
        <w:rPr>
          <w:rFonts w:ascii="Cambria" w:hAnsi="Cambria"/>
          <w:sz w:val="28"/>
          <w:szCs w:val="28"/>
          <w:lang w:val="uk-UA" w:eastAsia="uk-UA"/>
        </w:rPr>
      </w:pPr>
      <w:r w:rsidRPr="00AA5DBE">
        <w:rPr>
          <w:rFonts w:ascii="Cambria" w:hAnsi="Cambria"/>
          <w:sz w:val="28"/>
          <w:szCs w:val="28"/>
          <w:lang w:val="uk-UA" w:eastAsia="uk-UA"/>
        </w:rPr>
        <w:t xml:space="preserve">3. Цілеспрямовано переміщує частину прибутку між підрозділами або місцями їх розташування. </w:t>
      </w:r>
    </w:p>
    <w:p w14:paraId="0A0B4DE6" w14:textId="5F3D7231" w:rsidR="00AA5DBE" w:rsidRDefault="00AA5DBE" w:rsidP="00CA0CC4">
      <w:pPr>
        <w:autoSpaceDE w:val="0"/>
        <w:autoSpaceDN w:val="0"/>
        <w:adjustRightInd w:val="0"/>
        <w:ind w:firstLine="709"/>
        <w:jc w:val="both"/>
        <w:rPr>
          <w:rFonts w:ascii="Cambria" w:hAnsi="Cambria"/>
          <w:sz w:val="28"/>
          <w:szCs w:val="28"/>
          <w:lang w:val="uk-UA" w:eastAsia="uk-UA"/>
        </w:rPr>
      </w:pPr>
      <w:r w:rsidRPr="00AA5DBE">
        <w:rPr>
          <w:rFonts w:ascii="Cambria" w:hAnsi="Cambria"/>
          <w:sz w:val="28"/>
          <w:szCs w:val="28"/>
          <w:lang w:val="uk-UA" w:eastAsia="uk-UA"/>
        </w:rPr>
        <w:t>4. Гарантує, що не порушується автономність діяльності підрозділів.</w:t>
      </w:r>
    </w:p>
    <w:p w14:paraId="52931417" w14:textId="77777777" w:rsidR="00590AD3" w:rsidRDefault="00563E97" w:rsidP="00590AD3">
      <w:pPr>
        <w:autoSpaceDE w:val="0"/>
        <w:autoSpaceDN w:val="0"/>
        <w:adjustRightInd w:val="0"/>
        <w:ind w:firstLine="709"/>
        <w:jc w:val="both"/>
        <w:rPr>
          <w:rFonts w:ascii="Cambria" w:hAnsi="Cambria"/>
          <w:sz w:val="28"/>
          <w:szCs w:val="28"/>
          <w:lang w:val="uk-UA" w:eastAsia="uk-UA"/>
        </w:rPr>
      </w:pPr>
      <w:r>
        <w:rPr>
          <w:rFonts w:ascii="Cambria" w:hAnsi="Cambria"/>
          <w:sz w:val="28"/>
          <w:szCs w:val="28"/>
          <w:lang w:val="uk-UA" w:eastAsia="uk-UA"/>
        </w:rPr>
        <w:t>С</w:t>
      </w:r>
      <w:r w:rsidR="00810AE7" w:rsidRPr="00810AE7">
        <w:rPr>
          <w:rFonts w:ascii="Cambria" w:hAnsi="Cambria"/>
          <w:sz w:val="28"/>
          <w:szCs w:val="28"/>
          <w:lang w:val="uk-UA" w:eastAsia="uk-UA"/>
        </w:rPr>
        <w:t xml:space="preserve">истема трансфертного ціноутворення може формуватися як система, орієнтована на ринок, або як система, орієнтована на внутрішні витрати. Перший підхід має ряд переваг, зокрема можливість оптимізації результативності діяльності окремих підрозділів транснаціональних корпорацій, об'єктивна оцінка результатів діяльності підрозділів та їх конкурентної позиції на ринку певного регіону. Разом із тим такий підхід можна застосовувати тільки за умови наявності активного ринку певних продуктів або послуг. </w:t>
      </w:r>
    </w:p>
    <w:p w14:paraId="2BEBBA51" w14:textId="638DD0E0" w:rsidR="00AA5DBE" w:rsidRDefault="00810AE7" w:rsidP="00590AD3">
      <w:pPr>
        <w:autoSpaceDE w:val="0"/>
        <w:autoSpaceDN w:val="0"/>
        <w:adjustRightInd w:val="0"/>
        <w:ind w:firstLine="709"/>
        <w:jc w:val="both"/>
        <w:rPr>
          <w:rFonts w:ascii="Cambria" w:hAnsi="Cambria"/>
          <w:sz w:val="28"/>
          <w:szCs w:val="28"/>
          <w:lang w:val="uk-UA" w:eastAsia="uk-UA"/>
        </w:rPr>
      </w:pPr>
      <w:r w:rsidRPr="00810AE7">
        <w:rPr>
          <w:rFonts w:ascii="Cambria" w:hAnsi="Cambria"/>
          <w:sz w:val="28"/>
          <w:szCs w:val="28"/>
          <w:lang w:val="uk-UA" w:eastAsia="uk-UA"/>
        </w:rPr>
        <w:t>Слід зазначити, що розробка правових норм, пов'язаних із приводу трансфертного ціноутворення (податковий аспект), на рівні національних законодавств почалася ще в 1960-х роках. Першим документом, який регламентував трансфертне ціноутворення на міжнародному рівні, була Модельна конвенція ОЕСР (організація економічного співробітництва та розвитку, англ. Organisation for Economic Cooperation and Development, OECD) про податок на доходи і капітал 1963 р. У 1979 р. з'явився спеціальний документ, присвячений проблемам трансфертного ціноутворення: Звіт ОЕСР «Трансфертне ціноутворення та транснаціональні компанії».</w:t>
      </w:r>
      <w:r w:rsidR="00590AD3">
        <w:rPr>
          <w:rFonts w:ascii="Cambria" w:hAnsi="Cambria"/>
          <w:sz w:val="28"/>
          <w:szCs w:val="28"/>
          <w:lang w:val="uk-UA" w:eastAsia="uk-UA"/>
        </w:rPr>
        <w:t xml:space="preserve"> </w:t>
      </w:r>
      <w:r w:rsidRPr="00810AE7">
        <w:rPr>
          <w:rFonts w:ascii="Cambria" w:hAnsi="Cambria"/>
          <w:sz w:val="28"/>
          <w:szCs w:val="28"/>
          <w:lang w:val="uk-UA" w:eastAsia="uk-UA"/>
        </w:rPr>
        <w:t xml:space="preserve">У 1995 р. прийнятий наступний важливий документ – Керівництво ОЕСР із трансфертного ціноутворення для транснаціональних компаній та податкових служб, який до теперішнього часу є основним рекомендаційно-методичним </w:t>
      </w:r>
      <w:r w:rsidRPr="00810AE7">
        <w:rPr>
          <w:rFonts w:ascii="Cambria" w:hAnsi="Cambria"/>
          <w:sz w:val="28"/>
          <w:szCs w:val="28"/>
          <w:lang w:val="uk-UA" w:eastAsia="uk-UA"/>
        </w:rPr>
        <w:lastRenderedPageBreak/>
        <w:t>документом у сфері податкового регулювання трансфертного ціноутворення і положення якого враховуються в законодавстві різних країн світу (у тому числі і в тих країнах, які не є членами ОЕСР).</w:t>
      </w:r>
    </w:p>
    <w:p w14:paraId="32613C01" w14:textId="77777777" w:rsidR="00EB70C6" w:rsidRDefault="00EB70C6" w:rsidP="00EB70C6">
      <w:pPr>
        <w:autoSpaceDE w:val="0"/>
        <w:autoSpaceDN w:val="0"/>
        <w:adjustRightInd w:val="0"/>
        <w:ind w:firstLine="709"/>
        <w:jc w:val="both"/>
        <w:rPr>
          <w:rFonts w:ascii="Cambria" w:hAnsi="Cambria"/>
          <w:sz w:val="28"/>
          <w:szCs w:val="28"/>
          <w:lang w:val="uk-UA" w:eastAsia="uk-UA"/>
        </w:rPr>
      </w:pPr>
      <w:r w:rsidRPr="00EB70C6">
        <w:rPr>
          <w:rFonts w:ascii="Cambria" w:hAnsi="Cambria"/>
          <w:sz w:val="28"/>
          <w:szCs w:val="28"/>
          <w:lang w:val="uk-UA" w:eastAsia="uk-UA"/>
        </w:rPr>
        <w:t xml:space="preserve">Поява вищевказаних документів пов'язана передовсім із різким зростанням числа транснаціональних корпорацій (ТНК), починаючи приблизно з 1950 р. При роботі ТНК, що складаються з декількох афілійованих осіб, які знаходяться в різних країнах (а, отже, у різних податкових юрисдикціях), з'являється можливість отримання ними додаткового прибутку за рахунок установки внутрішньогрупових спеціальних (трансфертних) цін, тобто таких цін, які встановлюються на будь-який об'єкт торгівлі (товари, послуги або фактори виробництва) між пов'язаними компаніями або структурними підрозділами однієї компанії, якщо об'єкт торгівлі перетинає митний кордон. </w:t>
      </w:r>
    </w:p>
    <w:p w14:paraId="782CBBAA" w14:textId="77777777" w:rsidR="00EB70C6" w:rsidRDefault="00EB70C6" w:rsidP="00EB70C6">
      <w:pPr>
        <w:autoSpaceDE w:val="0"/>
        <w:autoSpaceDN w:val="0"/>
        <w:adjustRightInd w:val="0"/>
        <w:ind w:firstLine="709"/>
        <w:jc w:val="both"/>
        <w:rPr>
          <w:rFonts w:ascii="Cambria" w:hAnsi="Cambria"/>
          <w:sz w:val="28"/>
          <w:szCs w:val="28"/>
          <w:lang w:val="uk-UA" w:eastAsia="uk-UA"/>
        </w:rPr>
      </w:pPr>
      <w:r w:rsidRPr="00EB70C6">
        <w:rPr>
          <w:rFonts w:ascii="Cambria" w:hAnsi="Cambria"/>
          <w:sz w:val="28"/>
          <w:szCs w:val="28"/>
          <w:lang w:val="uk-UA" w:eastAsia="uk-UA"/>
        </w:rPr>
        <w:t xml:space="preserve">Таким чином, здійснюється «переклад» податкової бази на афілійовану особу, що перебуває в країні з більш сприятливим оподаткуванням. Зараз керівництво ОЕСР розглядає діяльність насамперед транснаціональних корпорацій. </w:t>
      </w:r>
    </w:p>
    <w:p w14:paraId="11D153D4" w14:textId="77777777" w:rsidR="00EB70C6" w:rsidRDefault="00EB70C6" w:rsidP="00EB70C6">
      <w:pPr>
        <w:autoSpaceDE w:val="0"/>
        <w:autoSpaceDN w:val="0"/>
        <w:adjustRightInd w:val="0"/>
        <w:ind w:firstLine="709"/>
        <w:jc w:val="both"/>
        <w:rPr>
          <w:rFonts w:ascii="Cambria" w:hAnsi="Cambria"/>
          <w:sz w:val="28"/>
          <w:szCs w:val="28"/>
          <w:lang w:val="uk-UA" w:eastAsia="uk-UA"/>
        </w:rPr>
      </w:pPr>
      <w:r w:rsidRPr="00EB70C6">
        <w:rPr>
          <w:rFonts w:ascii="Cambria" w:hAnsi="Cambria"/>
          <w:sz w:val="28"/>
          <w:szCs w:val="28"/>
          <w:lang w:val="uk-UA" w:eastAsia="uk-UA"/>
        </w:rPr>
        <w:t xml:space="preserve">Аналізу підлягають комерційні та фінансові взаємодії між «асоційованими організаціями» (цей термін у національних законодавствах може називатися інакше: пов'язані особи, взаємопов'язані особи; взаємозалежні особи тощо). </w:t>
      </w:r>
    </w:p>
    <w:p w14:paraId="08D25549" w14:textId="77777777" w:rsidR="00EB70C6" w:rsidRDefault="00EB70C6" w:rsidP="00EB70C6">
      <w:pPr>
        <w:autoSpaceDE w:val="0"/>
        <w:autoSpaceDN w:val="0"/>
        <w:adjustRightInd w:val="0"/>
        <w:ind w:firstLine="709"/>
        <w:jc w:val="both"/>
        <w:rPr>
          <w:rFonts w:ascii="Cambria" w:hAnsi="Cambria"/>
          <w:sz w:val="28"/>
          <w:szCs w:val="28"/>
          <w:lang w:val="uk-UA" w:eastAsia="uk-UA"/>
        </w:rPr>
      </w:pPr>
      <w:r w:rsidRPr="00EB70C6">
        <w:rPr>
          <w:rFonts w:ascii="Cambria" w:hAnsi="Cambria"/>
          <w:sz w:val="28"/>
          <w:szCs w:val="28"/>
          <w:lang w:val="uk-UA" w:eastAsia="uk-UA"/>
        </w:rPr>
        <w:t xml:space="preserve">Одним з основних принципів трансфертного ціноутворення є так званий «Принцип витягнутої руки» (англ. Arm's length principle). Суть даного принципу в наступному: якщо співпрацюють два незалежні підприємства, то, як правило, умови їх комерційних і фінансових відносин максимально наближені до ринкових. У той же час якщо взаємодія відбувається між асоційованими підприємствами, зовнішні ринкові показники можуть і не впливати безпосередньо на їх торгові та фінансові взаємовідносини (зокрема, може відбуватися «перенесення прибутку» до одного із підприємств, знаходиться в державі з більш лояльним оподаткуванням). Це відбувається тому, що асоційовані підприємства працюють «рука в руку». У той час як незалежні підприємства – на відстані «витягнутої руки». Якщо між двома асоційованими підприємствами в їх комерційних і фінансових взаємовідносинах створюються або встановлюються умови, відмінні від тих, які мали б місце між двома незалежними підприємствами, тоді будь-який прибуток, який за відсутністю таких умов міг би бути нарахований одному з них, але через наявність цих умов не був йому нарахований, може бути включений до прибутку цього підприємства і, відповідно, підлягає оподаткуванню. </w:t>
      </w:r>
    </w:p>
    <w:p w14:paraId="0BFF390E" w14:textId="77777777" w:rsidR="00EB70C6" w:rsidRDefault="00EB70C6" w:rsidP="00EB70C6">
      <w:pPr>
        <w:autoSpaceDE w:val="0"/>
        <w:autoSpaceDN w:val="0"/>
        <w:adjustRightInd w:val="0"/>
        <w:ind w:firstLine="709"/>
        <w:jc w:val="both"/>
        <w:rPr>
          <w:rFonts w:ascii="Cambria" w:hAnsi="Cambria"/>
          <w:sz w:val="28"/>
          <w:szCs w:val="28"/>
          <w:lang w:val="uk-UA" w:eastAsia="uk-UA"/>
        </w:rPr>
      </w:pPr>
      <w:r w:rsidRPr="00EB70C6">
        <w:rPr>
          <w:rFonts w:ascii="Cambria" w:hAnsi="Cambria"/>
          <w:sz w:val="28"/>
          <w:szCs w:val="28"/>
          <w:lang w:val="uk-UA" w:eastAsia="uk-UA"/>
        </w:rPr>
        <w:t xml:space="preserve">Отже, при застосуванні принципу «витягнутої руки» відбувається перерозподіл прибутку (усередині групи асоційованих підприємств) таким чином, щоб на кожному етапі взаємин між асоційованими організаціями умови угод відповідали ринковим умовам, як це було б при угодах незалежних організацій. Основною метою прибутку </w:t>
      </w:r>
      <w:r w:rsidRPr="00EB70C6">
        <w:rPr>
          <w:rFonts w:ascii="Cambria" w:hAnsi="Cambria"/>
          <w:sz w:val="28"/>
          <w:szCs w:val="28"/>
          <w:lang w:val="uk-UA" w:eastAsia="uk-UA"/>
        </w:rPr>
        <w:lastRenderedPageBreak/>
        <w:t xml:space="preserve">транснаціональних корпорацій за принципом «витягнутої руки» є забезпечення справедливої частки податкової бази для кожної податкової юрисдикції, у межах якої функціонує відповідний підрозділ ТНК. </w:t>
      </w:r>
    </w:p>
    <w:p w14:paraId="0BA37692" w14:textId="77777777" w:rsidR="00EB70C6" w:rsidRDefault="00EB70C6" w:rsidP="00EB70C6">
      <w:pPr>
        <w:autoSpaceDE w:val="0"/>
        <w:autoSpaceDN w:val="0"/>
        <w:adjustRightInd w:val="0"/>
        <w:ind w:firstLine="709"/>
        <w:jc w:val="both"/>
        <w:rPr>
          <w:rFonts w:ascii="Cambria" w:hAnsi="Cambria"/>
          <w:sz w:val="28"/>
          <w:szCs w:val="28"/>
          <w:lang w:val="uk-UA" w:eastAsia="uk-UA"/>
        </w:rPr>
      </w:pPr>
      <w:r w:rsidRPr="00EB70C6">
        <w:rPr>
          <w:rFonts w:ascii="Cambria" w:hAnsi="Cambria"/>
          <w:sz w:val="28"/>
          <w:szCs w:val="28"/>
          <w:lang w:val="uk-UA" w:eastAsia="uk-UA"/>
        </w:rPr>
        <w:t xml:space="preserve">Із пострадянських країн однією з перших, де був прийнятий Закон про трансфертне ціноутворення, був Казахстан (2001 р.). Досвід цієї країни з регулювання трансфертного ціноутворення є досить цікавим. </w:t>
      </w:r>
      <w:r>
        <w:rPr>
          <w:rFonts w:ascii="Cambria" w:hAnsi="Cambria"/>
          <w:sz w:val="28"/>
          <w:szCs w:val="28"/>
          <w:lang w:val="uk-UA" w:eastAsia="uk-UA"/>
        </w:rPr>
        <w:t xml:space="preserve"> </w:t>
      </w:r>
      <w:r w:rsidRPr="00EB70C6">
        <w:rPr>
          <w:rFonts w:ascii="Cambria" w:hAnsi="Cambria"/>
          <w:sz w:val="28"/>
          <w:szCs w:val="28"/>
          <w:lang w:val="uk-UA" w:eastAsia="uk-UA"/>
        </w:rPr>
        <w:t>Так, до підконтрольних операцій у Казахстані відносять міжнародні угоди та угоди, що здійснюються на території Казахстану і безпосередньо взаємопов'язані з міжнародними операціями при наступних умовах:</w:t>
      </w:r>
    </w:p>
    <w:p w14:paraId="50186384" w14:textId="18EB5F85" w:rsidR="00EB70C6" w:rsidRPr="00EB70C6" w:rsidRDefault="00EB70C6" w:rsidP="00EB70C6">
      <w:pPr>
        <w:pStyle w:val="a5"/>
        <w:numPr>
          <w:ilvl w:val="0"/>
          <w:numId w:val="10"/>
        </w:numPr>
        <w:autoSpaceDE w:val="0"/>
        <w:autoSpaceDN w:val="0"/>
        <w:adjustRightInd w:val="0"/>
        <w:jc w:val="both"/>
        <w:rPr>
          <w:rFonts w:ascii="Cambria" w:hAnsi="Cambria"/>
          <w:sz w:val="28"/>
          <w:szCs w:val="28"/>
          <w:lang w:val="uk-UA" w:eastAsia="uk-UA"/>
        </w:rPr>
      </w:pPr>
      <w:r w:rsidRPr="00EB70C6">
        <w:rPr>
          <w:rFonts w:ascii="Cambria" w:hAnsi="Cambria"/>
          <w:sz w:val="28"/>
          <w:szCs w:val="28"/>
          <w:lang w:val="uk-UA" w:eastAsia="uk-UA"/>
        </w:rPr>
        <w:t>реалізація корисних копалин, здобутих надрокористувачем, який є однією із сторін угоди;</w:t>
      </w:r>
    </w:p>
    <w:p w14:paraId="1A4340D4" w14:textId="4E2102F1" w:rsidR="00EB70C6" w:rsidRDefault="00EB70C6" w:rsidP="00EB70C6">
      <w:pPr>
        <w:pStyle w:val="a5"/>
        <w:numPr>
          <w:ilvl w:val="0"/>
          <w:numId w:val="10"/>
        </w:numPr>
        <w:autoSpaceDE w:val="0"/>
        <w:autoSpaceDN w:val="0"/>
        <w:adjustRightInd w:val="0"/>
        <w:jc w:val="both"/>
        <w:rPr>
          <w:rFonts w:ascii="Cambria" w:hAnsi="Cambria"/>
          <w:sz w:val="28"/>
          <w:szCs w:val="28"/>
          <w:lang w:val="uk-UA" w:eastAsia="uk-UA"/>
        </w:rPr>
      </w:pPr>
      <w:r w:rsidRPr="00EB70C6">
        <w:rPr>
          <w:rFonts w:ascii="Cambria" w:hAnsi="Cambria"/>
          <w:sz w:val="28"/>
          <w:szCs w:val="28"/>
          <w:lang w:val="uk-UA" w:eastAsia="uk-UA"/>
        </w:rPr>
        <w:t>якщо одна зі сторін угоди користується податковими пільгами;</w:t>
      </w:r>
    </w:p>
    <w:p w14:paraId="637AB9DB" w14:textId="74C23C85" w:rsidR="00EB70C6" w:rsidRPr="00EB70C6" w:rsidRDefault="00EB70C6" w:rsidP="00EB70C6">
      <w:pPr>
        <w:pStyle w:val="a5"/>
        <w:numPr>
          <w:ilvl w:val="0"/>
          <w:numId w:val="10"/>
        </w:numPr>
        <w:autoSpaceDE w:val="0"/>
        <w:autoSpaceDN w:val="0"/>
        <w:adjustRightInd w:val="0"/>
        <w:jc w:val="both"/>
        <w:rPr>
          <w:rFonts w:ascii="Cambria" w:hAnsi="Cambria"/>
          <w:sz w:val="28"/>
          <w:szCs w:val="28"/>
          <w:lang w:val="uk-UA" w:eastAsia="uk-UA"/>
        </w:rPr>
      </w:pPr>
      <w:r>
        <w:rPr>
          <w:rFonts w:ascii="Cambria" w:hAnsi="Cambria"/>
          <w:sz w:val="28"/>
          <w:szCs w:val="28"/>
          <w:lang w:val="uk-UA" w:eastAsia="uk-UA"/>
        </w:rPr>
        <w:t>одна зі сторін наносить шкоду за даними податкових декларацій за два останніх податкових періоди, що передують року здійснення угоди.</w:t>
      </w:r>
    </w:p>
    <w:p w14:paraId="3D7EC85E" w14:textId="77777777" w:rsidR="00DE518B" w:rsidRDefault="002518FA" w:rsidP="00CA0CC4">
      <w:pPr>
        <w:autoSpaceDE w:val="0"/>
        <w:autoSpaceDN w:val="0"/>
        <w:adjustRightInd w:val="0"/>
        <w:ind w:firstLine="709"/>
        <w:jc w:val="both"/>
        <w:rPr>
          <w:rFonts w:ascii="Cambria" w:hAnsi="Cambria"/>
          <w:sz w:val="28"/>
          <w:szCs w:val="28"/>
          <w:lang w:val="uk-UA" w:eastAsia="uk-UA"/>
        </w:rPr>
      </w:pPr>
      <w:r w:rsidRPr="002518FA">
        <w:rPr>
          <w:rFonts w:ascii="Cambria" w:hAnsi="Cambria"/>
          <w:sz w:val="28"/>
          <w:szCs w:val="28"/>
          <w:lang w:val="uk-UA" w:eastAsia="uk-UA"/>
        </w:rPr>
        <w:t xml:space="preserve">В Україні з 01.09.2013 р. набув чинності Закон України «Про внесення змін до Податкового кодексу України щодо трансфертного ціноутворення» від 04.07.2013 р. № 408-VІІ, розроблений з урахуванням стандартів ОЕСР і прогресивних міжнародних практик. Цим Законом установлені нові правила трансфертного ціноутворення, які кардинально відрізняються від тих, що діяли раніше. Зокрема, істотно вдосконалена система державного регулювання трансфертного ціноутворення в Україні, що дозволить захистити податкову базу, запобігти виведенню прибутку з країни та уникнути при цьому підстав для подвійного оподаткування, а також невизначеностей, які можуть перешкоджати прямим іноземним інвестиціям і розвитку зовнішньої торгівлі. </w:t>
      </w:r>
    </w:p>
    <w:p w14:paraId="0A419DC5" w14:textId="77777777" w:rsidR="00DE518B" w:rsidRDefault="002518FA" w:rsidP="00CA0CC4">
      <w:pPr>
        <w:autoSpaceDE w:val="0"/>
        <w:autoSpaceDN w:val="0"/>
        <w:adjustRightInd w:val="0"/>
        <w:ind w:firstLine="709"/>
        <w:jc w:val="both"/>
        <w:rPr>
          <w:rFonts w:ascii="Cambria" w:hAnsi="Cambria"/>
          <w:sz w:val="28"/>
          <w:szCs w:val="28"/>
          <w:lang w:val="uk-UA" w:eastAsia="uk-UA"/>
        </w:rPr>
      </w:pPr>
      <w:r w:rsidRPr="002518FA">
        <w:rPr>
          <w:rFonts w:ascii="Cambria" w:hAnsi="Cambria"/>
          <w:sz w:val="28"/>
          <w:szCs w:val="28"/>
          <w:lang w:val="uk-UA" w:eastAsia="uk-UA"/>
        </w:rPr>
        <w:t xml:space="preserve">Предметом податкового контролю є переважно операції у сфері зовнішньоекономічної діяльності. Необхідність уведення таких правил і контролю їх дотримання пояснюється поширенням практики штучного створення фінансових потоків між підприємствами, що входять до складу однієї транснаціональної корпорації або промислово-фінансової групи і розташовані в різних країнах. Це дозволяє виводити фінансові ресурси за межі України і акумулювати їх в інших країнах, мінімізуючи податкові зобов'язання. </w:t>
      </w:r>
    </w:p>
    <w:p w14:paraId="18C6F3D5" w14:textId="44683FD6" w:rsidR="00AA5DBE" w:rsidRDefault="002518FA" w:rsidP="00CA0CC4">
      <w:pPr>
        <w:autoSpaceDE w:val="0"/>
        <w:autoSpaceDN w:val="0"/>
        <w:adjustRightInd w:val="0"/>
        <w:ind w:firstLine="709"/>
        <w:jc w:val="both"/>
        <w:rPr>
          <w:rFonts w:ascii="Cambria" w:hAnsi="Cambria"/>
          <w:sz w:val="28"/>
          <w:szCs w:val="28"/>
          <w:lang w:val="uk-UA" w:eastAsia="uk-UA"/>
        </w:rPr>
      </w:pPr>
      <w:r w:rsidRPr="002518FA">
        <w:rPr>
          <w:rFonts w:ascii="Cambria" w:hAnsi="Cambria"/>
          <w:sz w:val="28"/>
          <w:szCs w:val="28"/>
          <w:lang w:val="uk-UA" w:eastAsia="uk-UA"/>
        </w:rPr>
        <w:t xml:space="preserve">У складі всіх великих українських промислових груп є іноземні торгові компанії, розташовані в офшорах і юрисдикціях із низьким рівнем оподаткування (Кіпр, Люксембург, Нідерланди, Ірландія, Швейцарія та ін.). Як наслідок, це звужує фінансовий потенціал національної економіки та негативно впливає на обсяги надходжень до державного бюджету України. За даними Державної податкової служби України, тільки в 2012 р. 54% українського товарного експорту вивезено через третіх, часто афілійованих осіб, а загальний обсяг експорту за непрямими </w:t>
      </w:r>
      <w:r w:rsidRPr="002518FA">
        <w:rPr>
          <w:rFonts w:ascii="Cambria" w:hAnsi="Cambria"/>
          <w:sz w:val="28"/>
          <w:szCs w:val="28"/>
          <w:lang w:val="uk-UA" w:eastAsia="uk-UA"/>
        </w:rPr>
        <w:lastRenderedPageBreak/>
        <w:t>контрактами становив 260 млрд. грн. У результаті за межами України залишилося майже 30% доходу від експорту.</w:t>
      </w:r>
    </w:p>
    <w:p w14:paraId="76E618A0" w14:textId="77777777" w:rsidR="00713CA5" w:rsidRDefault="00713CA5" w:rsidP="00CA0CC4">
      <w:pPr>
        <w:autoSpaceDE w:val="0"/>
        <w:autoSpaceDN w:val="0"/>
        <w:adjustRightInd w:val="0"/>
        <w:ind w:firstLine="709"/>
        <w:jc w:val="both"/>
        <w:rPr>
          <w:rFonts w:ascii="Cambria" w:hAnsi="Cambria"/>
          <w:sz w:val="28"/>
          <w:szCs w:val="28"/>
          <w:lang w:val="uk-UA" w:eastAsia="uk-UA"/>
        </w:rPr>
      </w:pPr>
      <w:r w:rsidRPr="00713CA5">
        <w:rPr>
          <w:rFonts w:ascii="Cambria" w:hAnsi="Cambria"/>
          <w:sz w:val="28"/>
          <w:szCs w:val="28"/>
          <w:lang w:val="uk-UA" w:eastAsia="uk-UA"/>
        </w:rPr>
        <w:t xml:space="preserve">Але прийняті в Україні зміни до Податкового кодексу, на жаль, не вирішують у повному обсязі ті проблеми і труднощі, що виникають у сфері трансфертного ціноутворення. Так, передбачається, що трансфертне ціноутворення – це процес визначення ціни продажу (реалізації) товарів та/або результатів робіт (послуг) при здійсненні контрольованих операцій. </w:t>
      </w:r>
    </w:p>
    <w:p w14:paraId="171EF107" w14:textId="77777777" w:rsidR="00713CA5" w:rsidRDefault="00713CA5" w:rsidP="00CA0CC4">
      <w:pPr>
        <w:autoSpaceDE w:val="0"/>
        <w:autoSpaceDN w:val="0"/>
        <w:adjustRightInd w:val="0"/>
        <w:ind w:firstLine="709"/>
        <w:jc w:val="both"/>
        <w:rPr>
          <w:rFonts w:ascii="Cambria" w:hAnsi="Cambria"/>
          <w:sz w:val="28"/>
          <w:szCs w:val="28"/>
          <w:lang w:val="uk-UA" w:eastAsia="uk-UA"/>
        </w:rPr>
      </w:pPr>
      <w:r w:rsidRPr="00713CA5">
        <w:rPr>
          <w:rFonts w:ascii="Cambria" w:hAnsi="Cambria"/>
          <w:sz w:val="28"/>
          <w:szCs w:val="28"/>
          <w:lang w:val="uk-UA" w:eastAsia="uk-UA"/>
        </w:rPr>
        <w:t>Контрольованими операціями визначено господарські операції з придбання (продаж) товарів (робіт, послуг) за участю:</w:t>
      </w:r>
    </w:p>
    <w:p w14:paraId="054EAD7E" w14:textId="77777777" w:rsidR="00713CA5" w:rsidRDefault="00713CA5" w:rsidP="00713CA5">
      <w:pPr>
        <w:autoSpaceDE w:val="0"/>
        <w:autoSpaceDN w:val="0"/>
        <w:adjustRightInd w:val="0"/>
        <w:jc w:val="both"/>
        <w:rPr>
          <w:rFonts w:ascii="Cambria" w:hAnsi="Cambria"/>
          <w:sz w:val="28"/>
          <w:szCs w:val="28"/>
          <w:lang w:val="uk-UA" w:eastAsia="uk-UA"/>
        </w:rPr>
      </w:pPr>
      <w:r w:rsidRPr="00713CA5">
        <w:rPr>
          <w:rFonts w:ascii="Cambria" w:hAnsi="Cambria"/>
          <w:sz w:val="28"/>
          <w:szCs w:val="28"/>
          <w:lang w:val="uk-UA" w:eastAsia="uk-UA"/>
        </w:rPr>
        <w:t xml:space="preserve">а) резидентів із нерезидентами – пов'язаними особами; </w:t>
      </w:r>
    </w:p>
    <w:p w14:paraId="781B4B34" w14:textId="77777777" w:rsidR="00713CA5" w:rsidRDefault="00713CA5" w:rsidP="00713CA5">
      <w:pPr>
        <w:autoSpaceDE w:val="0"/>
        <w:autoSpaceDN w:val="0"/>
        <w:adjustRightInd w:val="0"/>
        <w:jc w:val="both"/>
        <w:rPr>
          <w:rFonts w:ascii="Cambria" w:hAnsi="Cambria"/>
          <w:sz w:val="28"/>
          <w:szCs w:val="28"/>
          <w:lang w:val="uk-UA" w:eastAsia="uk-UA"/>
        </w:rPr>
      </w:pPr>
      <w:r w:rsidRPr="00713CA5">
        <w:rPr>
          <w:rFonts w:ascii="Cambria" w:hAnsi="Cambria"/>
          <w:sz w:val="28"/>
          <w:szCs w:val="28"/>
          <w:lang w:val="uk-UA" w:eastAsia="uk-UA"/>
        </w:rPr>
        <w:t>б) резидентів з іншими резидентами – пов'язаними особами, які:</w:t>
      </w:r>
    </w:p>
    <w:p w14:paraId="6C51D1DA" w14:textId="77777777" w:rsidR="00713CA5" w:rsidRDefault="00713CA5" w:rsidP="00713CA5">
      <w:pPr>
        <w:pStyle w:val="a5"/>
        <w:numPr>
          <w:ilvl w:val="0"/>
          <w:numId w:val="12"/>
        </w:numPr>
        <w:autoSpaceDE w:val="0"/>
        <w:autoSpaceDN w:val="0"/>
        <w:adjustRightInd w:val="0"/>
        <w:jc w:val="both"/>
        <w:rPr>
          <w:rFonts w:ascii="Cambria" w:hAnsi="Cambria"/>
          <w:sz w:val="28"/>
          <w:szCs w:val="28"/>
          <w:lang w:val="uk-UA" w:eastAsia="uk-UA"/>
        </w:rPr>
      </w:pPr>
      <w:r w:rsidRPr="00713CA5">
        <w:rPr>
          <w:rFonts w:ascii="Cambria" w:hAnsi="Cambria"/>
          <w:sz w:val="28"/>
          <w:szCs w:val="28"/>
          <w:lang w:val="uk-UA" w:eastAsia="uk-UA"/>
        </w:rPr>
        <w:t>задекларували від'ємне значення об'єкта оподаткування з податку на прибуток за попередній податковий (звітний) рік;</w:t>
      </w:r>
    </w:p>
    <w:p w14:paraId="682C0193" w14:textId="77777777" w:rsidR="00713CA5" w:rsidRDefault="00713CA5" w:rsidP="00713CA5">
      <w:pPr>
        <w:pStyle w:val="a5"/>
        <w:numPr>
          <w:ilvl w:val="0"/>
          <w:numId w:val="12"/>
        </w:numPr>
        <w:autoSpaceDE w:val="0"/>
        <w:autoSpaceDN w:val="0"/>
        <w:adjustRightInd w:val="0"/>
        <w:jc w:val="both"/>
        <w:rPr>
          <w:rFonts w:ascii="Cambria" w:hAnsi="Cambria"/>
          <w:sz w:val="28"/>
          <w:szCs w:val="28"/>
          <w:lang w:val="uk-UA" w:eastAsia="uk-UA"/>
        </w:rPr>
      </w:pPr>
      <w:r w:rsidRPr="00713CA5">
        <w:rPr>
          <w:rFonts w:ascii="Cambria" w:hAnsi="Cambria"/>
          <w:sz w:val="28"/>
          <w:szCs w:val="28"/>
          <w:lang w:val="uk-UA" w:eastAsia="uk-UA"/>
        </w:rPr>
        <w:t>застосовують спеціальні режими оподаткування;</w:t>
      </w:r>
    </w:p>
    <w:p w14:paraId="2ADD6D62" w14:textId="77777777" w:rsidR="00713CA5" w:rsidRDefault="00713CA5" w:rsidP="00713CA5">
      <w:pPr>
        <w:pStyle w:val="a5"/>
        <w:numPr>
          <w:ilvl w:val="0"/>
          <w:numId w:val="12"/>
        </w:numPr>
        <w:autoSpaceDE w:val="0"/>
        <w:autoSpaceDN w:val="0"/>
        <w:adjustRightInd w:val="0"/>
        <w:jc w:val="both"/>
        <w:rPr>
          <w:rFonts w:ascii="Cambria" w:hAnsi="Cambria"/>
          <w:sz w:val="28"/>
          <w:szCs w:val="28"/>
          <w:lang w:val="uk-UA" w:eastAsia="uk-UA"/>
        </w:rPr>
      </w:pPr>
      <w:r w:rsidRPr="00713CA5">
        <w:rPr>
          <w:rFonts w:ascii="Cambria" w:hAnsi="Cambria"/>
          <w:sz w:val="28"/>
          <w:szCs w:val="28"/>
          <w:lang w:val="uk-UA" w:eastAsia="uk-UA"/>
        </w:rPr>
        <w:t>платять податок на прибуток підприємств та/або податок на додану вартість за іншою ставкою, ніж базова (основна);</w:t>
      </w:r>
    </w:p>
    <w:p w14:paraId="6F60523A" w14:textId="77777777" w:rsidR="00713CA5" w:rsidRDefault="00713CA5" w:rsidP="00713CA5">
      <w:pPr>
        <w:pStyle w:val="a5"/>
        <w:numPr>
          <w:ilvl w:val="0"/>
          <w:numId w:val="12"/>
        </w:numPr>
        <w:autoSpaceDE w:val="0"/>
        <w:autoSpaceDN w:val="0"/>
        <w:adjustRightInd w:val="0"/>
        <w:jc w:val="both"/>
        <w:rPr>
          <w:rFonts w:ascii="Cambria" w:hAnsi="Cambria"/>
          <w:sz w:val="28"/>
          <w:szCs w:val="28"/>
          <w:lang w:val="uk-UA" w:eastAsia="uk-UA"/>
        </w:rPr>
      </w:pPr>
      <w:r w:rsidRPr="00713CA5">
        <w:rPr>
          <w:rFonts w:ascii="Cambria" w:hAnsi="Cambria"/>
          <w:sz w:val="28"/>
          <w:szCs w:val="28"/>
          <w:lang w:val="uk-UA" w:eastAsia="uk-UA"/>
        </w:rPr>
        <w:t>вони не були платниками податку на прибуток підприємств та/або податку на додану вартість;</w:t>
      </w:r>
    </w:p>
    <w:p w14:paraId="3E3BAA7C" w14:textId="77777777" w:rsidR="00713CA5" w:rsidRDefault="00713CA5" w:rsidP="00713CA5">
      <w:pPr>
        <w:autoSpaceDE w:val="0"/>
        <w:autoSpaceDN w:val="0"/>
        <w:adjustRightInd w:val="0"/>
        <w:jc w:val="both"/>
        <w:rPr>
          <w:rFonts w:ascii="Cambria" w:hAnsi="Cambria"/>
          <w:sz w:val="28"/>
          <w:szCs w:val="28"/>
          <w:lang w:val="uk-UA" w:eastAsia="uk-UA"/>
        </w:rPr>
      </w:pPr>
      <w:r w:rsidRPr="00713CA5">
        <w:rPr>
          <w:rFonts w:ascii="Cambria" w:hAnsi="Cambria"/>
          <w:sz w:val="28"/>
          <w:szCs w:val="28"/>
          <w:lang w:val="uk-UA" w:eastAsia="uk-UA"/>
        </w:rPr>
        <w:t xml:space="preserve">в) нерезидента, зареєстрованого в державі (на території), в якій ставка податку на прибуток (корпоративний податок) на п’ять і більше процентних пунктів нижче, ніж в Україні, або який сплачує податок на прибуток (корпоративний податок) за ставкою на п’ять і більше процентних пунктів нижче, ніж в Україні. </w:t>
      </w:r>
    </w:p>
    <w:p w14:paraId="3B5FA62C" w14:textId="06C13C87" w:rsidR="00713CA5" w:rsidRPr="00713CA5" w:rsidRDefault="00713CA5" w:rsidP="00713CA5">
      <w:pPr>
        <w:autoSpaceDE w:val="0"/>
        <w:autoSpaceDN w:val="0"/>
        <w:adjustRightInd w:val="0"/>
        <w:ind w:firstLine="709"/>
        <w:jc w:val="both"/>
        <w:rPr>
          <w:rFonts w:ascii="Cambria" w:hAnsi="Cambria"/>
          <w:sz w:val="28"/>
          <w:szCs w:val="28"/>
          <w:lang w:val="uk-UA" w:eastAsia="uk-UA"/>
        </w:rPr>
      </w:pPr>
      <w:r w:rsidRPr="00713CA5">
        <w:rPr>
          <w:rFonts w:ascii="Cambria" w:hAnsi="Cambria"/>
          <w:sz w:val="28"/>
          <w:szCs w:val="28"/>
          <w:lang w:val="uk-UA" w:eastAsia="uk-UA"/>
        </w:rPr>
        <w:t>Перелік таких держав (територій) затверджується Кабінетом Міністрів України та щорічно публікується Міністерством доходів і зборів із зазначенням ставок податку на прибуток (корпоративний податок).</w:t>
      </w:r>
    </w:p>
    <w:p w14:paraId="5C4A9785" w14:textId="77777777" w:rsidR="00F63388" w:rsidRDefault="00F63388" w:rsidP="00CA0CC4">
      <w:pPr>
        <w:autoSpaceDE w:val="0"/>
        <w:autoSpaceDN w:val="0"/>
        <w:adjustRightInd w:val="0"/>
        <w:ind w:firstLine="709"/>
        <w:jc w:val="both"/>
        <w:rPr>
          <w:rFonts w:ascii="Cambria" w:hAnsi="Cambria"/>
          <w:sz w:val="28"/>
          <w:szCs w:val="28"/>
          <w:lang w:val="uk-UA" w:eastAsia="uk-UA"/>
        </w:rPr>
      </w:pPr>
      <w:r w:rsidRPr="00F63388">
        <w:rPr>
          <w:rFonts w:ascii="Cambria" w:hAnsi="Cambria"/>
          <w:sz w:val="28"/>
          <w:szCs w:val="28"/>
          <w:lang w:val="uk-UA" w:eastAsia="uk-UA"/>
        </w:rPr>
        <w:t xml:space="preserve">Для всіх зазначених категорій учасників контрольованими операціями будуть такі, в яких їх загальна сума дорівнює або перевищує 50 млн. грн. (без урахування податку на додану вартість) за відповідний календарний рік. Значний обсяг контрольованих операцій приведе до надходження в контролюючі органи досить великого потоку інформації. </w:t>
      </w:r>
    </w:p>
    <w:p w14:paraId="079F85B6" w14:textId="77777777" w:rsidR="00F63388" w:rsidRDefault="00F63388" w:rsidP="00CA0CC4">
      <w:pPr>
        <w:autoSpaceDE w:val="0"/>
        <w:autoSpaceDN w:val="0"/>
        <w:adjustRightInd w:val="0"/>
        <w:ind w:firstLine="709"/>
        <w:jc w:val="both"/>
        <w:rPr>
          <w:rFonts w:ascii="Cambria" w:hAnsi="Cambria"/>
          <w:sz w:val="28"/>
          <w:szCs w:val="28"/>
          <w:lang w:val="uk-UA" w:eastAsia="uk-UA"/>
        </w:rPr>
      </w:pPr>
      <w:r w:rsidRPr="00F63388">
        <w:rPr>
          <w:rFonts w:ascii="Cambria" w:hAnsi="Cambria"/>
          <w:sz w:val="28"/>
          <w:szCs w:val="28"/>
          <w:lang w:val="uk-UA" w:eastAsia="uk-UA"/>
        </w:rPr>
        <w:t xml:space="preserve">Цілком можливо, що деякі структурні підрозділи Міндоходів не зможуть оперативно обробити такий обсяг отриманих даних. Визначення ціни при здійсненні контрольованих операцій проводиться з метою перевірки правильності, повноти нарахування та сплати податку на прибуток підприємств і податку на додану вартість. Щодо інших податків і платежів, даний податковий контроль не застосовується. </w:t>
      </w:r>
    </w:p>
    <w:p w14:paraId="6503CFE5" w14:textId="77777777" w:rsidR="00F63388" w:rsidRDefault="00F63388" w:rsidP="00CA0CC4">
      <w:pPr>
        <w:autoSpaceDE w:val="0"/>
        <w:autoSpaceDN w:val="0"/>
        <w:adjustRightInd w:val="0"/>
        <w:ind w:firstLine="709"/>
        <w:jc w:val="both"/>
        <w:rPr>
          <w:rFonts w:ascii="Cambria" w:hAnsi="Cambria"/>
          <w:sz w:val="28"/>
          <w:szCs w:val="28"/>
          <w:lang w:val="uk-UA" w:eastAsia="uk-UA"/>
        </w:rPr>
      </w:pPr>
      <w:r w:rsidRPr="00F63388">
        <w:rPr>
          <w:rFonts w:ascii="Cambria" w:hAnsi="Cambria"/>
          <w:sz w:val="28"/>
          <w:szCs w:val="28"/>
          <w:lang w:val="uk-UA" w:eastAsia="uk-UA"/>
        </w:rPr>
        <w:t xml:space="preserve">Своєю чергою, пов'язаними вважаються юридичні та/або фізичні особи, відносини між якими можуть впливати на умови або економічні результати їх діяльності чи діяльності осіб, яких вони представляють. Для визнання осіб пов'язаними враховується вплив, який може здійснюватися через володіння однією особою корпоративними правами інших осіб відповідно до укладених між ними договорами або за </w:t>
      </w:r>
      <w:r w:rsidRPr="00F63388">
        <w:rPr>
          <w:rFonts w:ascii="Cambria" w:hAnsi="Cambria"/>
          <w:sz w:val="28"/>
          <w:szCs w:val="28"/>
          <w:lang w:val="uk-UA" w:eastAsia="uk-UA"/>
        </w:rPr>
        <w:lastRenderedPageBreak/>
        <w:t xml:space="preserve">наявності іншої можливості однієї особи впливати на рішення, що приймаються іншими особами. При цьому такий вплив ураховується незалежно від того, чи здійснюється він особою безпосередньо і самостійно або разом із пов'язаними особами. </w:t>
      </w:r>
    </w:p>
    <w:p w14:paraId="115111CF" w14:textId="77777777" w:rsidR="00F63388" w:rsidRDefault="00F63388" w:rsidP="00CA0CC4">
      <w:pPr>
        <w:autoSpaceDE w:val="0"/>
        <w:autoSpaceDN w:val="0"/>
        <w:adjustRightInd w:val="0"/>
        <w:ind w:firstLine="709"/>
        <w:jc w:val="both"/>
        <w:rPr>
          <w:rFonts w:ascii="Cambria" w:hAnsi="Cambria"/>
          <w:sz w:val="28"/>
          <w:szCs w:val="28"/>
          <w:lang w:val="uk-UA" w:eastAsia="uk-UA"/>
        </w:rPr>
      </w:pPr>
      <w:r w:rsidRPr="00F63388">
        <w:rPr>
          <w:rFonts w:ascii="Cambria" w:hAnsi="Cambria"/>
          <w:sz w:val="28"/>
          <w:szCs w:val="28"/>
          <w:lang w:val="uk-UA" w:eastAsia="uk-UA"/>
        </w:rPr>
        <w:t>Пов'язаними особами для цілей трансфертного ціноутворення визнаються:</w:t>
      </w:r>
    </w:p>
    <w:p w14:paraId="49366DC2" w14:textId="77777777" w:rsidR="00F63388" w:rsidRDefault="00F63388" w:rsidP="00F63388">
      <w:pPr>
        <w:pStyle w:val="a5"/>
        <w:numPr>
          <w:ilvl w:val="0"/>
          <w:numId w:val="14"/>
        </w:numPr>
        <w:autoSpaceDE w:val="0"/>
        <w:autoSpaceDN w:val="0"/>
        <w:adjustRightInd w:val="0"/>
        <w:jc w:val="both"/>
        <w:rPr>
          <w:rFonts w:ascii="Cambria" w:hAnsi="Cambria"/>
          <w:sz w:val="28"/>
          <w:szCs w:val="28"/>
          <w:lang w:val="uk-UA" w:eastAsia="uk-UA"/>
        </w:rPr>
      </w:pPr>
      <w:r w:rsidRPr="00F63388">
        <w:rPr>
          <w:rFonts w:ascii="Cambria" w:hAnsi="Cambria"/>
          <w:sz w:val="28"/>
          <w:szCs w:val="28"/>
          <w:lang w:val="uk-UA" w:eastAsia="uk-UA"/>
        </w:rPr>
        <w:t>юридичні особи – у разі коли одна з таких осіб безпосередньо та/або опосередковано (через пов'язаних осіб) володіє корпоративними правами юридичної особи в розмірі 20% і більше;</w:t>
      </w:r>
    </w:p>
    <w:p w14:paraId="5AB6992C" w14:textId="77777777" w:rsidR="00F63388" w:rsidRDefault="00F63388" w:rsidP="00F63388">
      <w:pPr>
        <w:pStyle w:val="a5"/>
        <w:numPr>
          <w:ilvl w:val="0"/>
          <w:numId w:val="14"/>
        </w:numPr>
        <w:autoSpaceDE w:val="0"/>
        <w:autoSpaceDN w:val="0"/>
        <w:adjustRightInd w:val="0"/>
        <w:jc w:val="both"/>
        <w:rPr>
          <w:rFonts w:ascii="Cambria" w:hAnsi="Cambria"/>
          <w:sz w:val="28"/>
          <w:szCs w:val="28"/>
          <w:lang w:val="uk-UA" w:eastAsia="uk-UA"/>
        </w:rPr>
      </w:pPr>
      <w:r w:rsidRPr="00F63388">
        <w:rPr>
          <w:rFonts w:ascii="Cambria" w:hAnsi="Cambria"/>
          <w:sz w:val="28"/>
          <w:szCs w:val="28"/>
          <w:lang w:val="uk-UA" w:eastAsia="uk-UA"/>
        </w:rPr>
        <w:t>фізична та юридична особа – у разі якщо фізична особа безпосередньо та/або опосередковано (через пов'язаних осіб) володіє корпоративними правами іншої юридичної особи в розмірі 20% і більше;</w:t>
      </w:r>
    </w:p>
    <w:p w14:paraId="6B70727F" w14:textId="77777777" w:rsidR="00F63388" w:rsidRDefault="00F63388" w:rsidP="00F63388">
      <w:pPr>
        <w:pStyle w:val="a5"/>
        <w:numPr>
          <w:ilvl w:val="0"/>
          <w:numId w:val="14"/>
        </w:numPr>
        <w:autoSpaceDE w:val="0"/>
        <w:autoSpaceDN w:val="0"/>
        <w:adjustRightInd w:val="0"/>
        <w:jc w:val="both"/>
        <w:rPr>
          <w:rFonts w:ascii="Cambria" w:hAnsi="Cambria"/>
          <w:sz w:val="28"/>
          <w:szCs w:val="28"/>
          <w:lang w:val="uk-UA" w:eastAsia="uk-UA"/>
        </w:rPr>
      </w:pPr>
      <w:r w:rsidRPr="00F63388">
        <w:rPr>
          <w:rFonts w:ascii="Cambria" w:hAnsi="Cambria"/>
          <w:sz w:val="28"/>
          <w:szCs w:val="28"/>
          <w:lang w:val="uk-UA" w:eastAsia="uk-UA"/>
        </w:rPr>
        <w:t>юридичні особи – у разі коли одна і та ж особа безпосередньо та/або опосередковано володіє корпоративними правами таких юридичних осіб та розмір частки корпоративних прав у кожній особі становить 20% і більше;</w:t>
      </w:r>
    </w:p>
    <w:p w14:paraId="3C577651" w14:textId="77777777" w:rsidR="00F63388" w:rsidRDefault="00F63388" w:rsidP="00F63388">
      <w:pPr>
        <w:pStyle w:val="a5"/>
        <w:numPr>
          <w:ilvl w:val="0"/>
          <w:numId w:val="14"/>
        </w:numPr>
        <w:autoSpaceDE w:val="0"/>
        <w:autoSpaceDN w:val="0"/>
        <w:adjustRightInd w:val="0"/>
        <w:jc w:val="both"/>
        <w:rPr>
          <w:rFonts w:ascii="Cambria" w:hAnsi="Cambria"/>
          <w:sz w:val="28"/>
          <w:szCs w:val="28"/>
          <w:lang w:val="uk-UA" w:eastAsia="uk-UA"/>
        </w:rPr>
      </w:pPr>
      <w:r w:rsidRPr="00F63388">
        <w:rPr>
          <w:rFonts w:ascii="Cambria" w:hAnsi="Cambria"/>
          <w:sz w:val="28"/>
          <w:szCs w:val="28"/>
          <w:lang w:val="uk-UA" w:eastAsia="uk-UA"/>
        </w:rPr>
        <w:t>юридична особа і особа, яка має повноваження на призначення (обрання) одноосібного виконавчого органу такої юридичної особи або на призначення (обрання) 50% і більше складу її колегіального виконавчого органу або наглядової ради;</w:t>
      </w:r>
    </w:p>
    <w:p w14:paraId="222F6076" w14:textId="77777777" w:rsidR="00F63388" w:rsidRDefault="00F63388" w:rsidP="00F63388">
      <w:pPr>
        <w:pStyle w:val="a5"/>
        <w:numPr>
          <w:ilvl w:val="0"/>
          <w:numId w:val="14"/>
        </w:numPr>
        <w:autoSpaceDE w:val="0"/>
        <w:autoSpaceDN w:val="0"/>
        <w:adjustRightInd w:val="0"/>
        <w:jc w:val="both"/>
        <w:rPr>
          <w:rFonts w:ascii="Cambria" w:hAnsi="Cambria"/>
          <w:sz w:val="28"/>
          <w:szCs w:val="28"/>
          <w:lang w:val="uk-UA" w:eastAsia="uk-UA"/>
        </w:rPr>
      </w:pPr>
      <w:r w:rsidRPr="00F63388">
        <w:rPr>
          <w:rFonts w:ascii="Cambria" w:hAnsi="Cambria"/>
          <w:sz w:val="28"/>
          <w:szCs w:val="28"/>
          <w:lang w:val="uk-UA" w:eastAsia="uk-UA"/>
        </w:rPr>
        <w:t>юридичні особи, одноосібні виконавчі органи яких призначені (обрані) за рішенням однієї і тієї ж особи (власника або уповноважених ним органу);</w:t>
      </w:r>
    </w:p>
    <w:p w14:paraId="3600D2F1" w14:textId="77777777" w:rsidR="00424510" w:rsidRDefault="00F63388" w:rsidP="00424510">
      <w:pPr>
        <w:pStyle w:val="a5"/>
        <w:numPr>
          <w:ilvl w:val="0"/>
          <w:numId w:val="14"/>
        </w:numPr>
        <w:autoSpaceDE w:val="0"/>
        <w:autoSpaceDN w:val="0"/>
        <w:adjustRightInd w:val="0"/>
        <w:jc w:val="both"/>
        <w:rPr>
          <w:rFonts w:ascii="Cambria" w:hAnsi="Cambria"/>
          <w:sz w:val="28"/>
          <w:szCs w:val="28"/>
          <w:lang w:val="uk-UA" w:eastAsia="uk-UA"/>
        </w:rPr>
      </w:pPr>
      <w:r>
        <w:rPr>
          <w:rFonts w:ascii="Cambria" w:hAnsi="Cambria"/>
          <w:sz w:val="28"/>
          <w:szCs w:val="28"/>
          <w:lang w:val="uk-UA" w:eastAsia="uk-UA"/>
        </w:rPr>
        <w:t xml:space="preserve">юридичні особи, в яких 50% і більше складу </w:t>
      </w:r>
      <w:r w:rsidRPr="00F63388">
        <w:rPr>
          <w:rFonts w:ascii="Cambria" w:hAnsi="Cambria"/>
          <w:sz w:val="28"/>
          <w:szCs w:val="28"/>
          <w:lang w:val="uk-UA" w:eastAsia="uk-UA"/>
        </w:rPr>
        <w:t>колегіального виконавчого органу або наглядової ради призначений (обраний) за рішенням однієї і тієї ж особи (власника або уповноваженого ним органу);</w:t>
      </w:r>
    </w:p>
    <w:p w14:paraId="6D05701D" w14:textId="77777777" w:rsidR="00424510" w:rsidRDefault="00650D40" w:rsidP="00424510">
      <w:pPr>
        <w:pStyle w:val="a5"/>
        <w:numPr>
          <w:ilvl w:val="0"/>
          <w:numId w:val="14"/>
        </w:numPr>
        <w:autoSpaceDE w:val="0"/>
        <w:autoSpaceDN w:val="0"/>
        <w:adjustRightInd w:val="0"/>
        <w:jc w:val="both"/>
        <w:rPr>
          <w:rFonts w:ascii="Cambria" w:hAnsi="Cambria"/>
          <w:sz w:val="28"/>
          <w:szCs w:val="28"/>
          <w:lang w:val="uk-UA" w:eastAsia="uk-UA"/>
        </w:rPr>
      </w:pPr>
      <w:r w:rsidRPr="00424510">
        <w:rPr>
          <w:rFonts w:ascii="Cambria" w:hAnsi="Cambria"/>
          <w:sz w:val="28"/>
          <w:szCs w:val="28"/>
          <w:lang w:val="uk-UA" w:eastAsia="uk-UA"/>
        </w:rPr>
        <w:t>юридичні особи, в яких 50% і більше складу колегіального виконавчого органу та/або наглядової ради складають одні й ті ж фізичні особи;</w:t>
      </w:r>
    </w:p>
    <w:p w14:paraId="0CC4DF2A" w14:textId="77777777" w:rsidR="00424510" w:rsidRDefault="00650D40" w:rsidP="00424510">
      <w:pPr>
        <w:pStyle w:val="a5"/>
        <w:numPr>
          <w:ilvl w:val="0"/>
          <w:numId w:val="14"/>
        </w:numPr>
        <w:autoSpaceDE w:val="0"/>
        <w:autoSpaceDN w:val="0"/>
        <w:adjustRightInd w:val="0"/>
        <w:jc w:val="both"/>
        <w:rPr>
          <w:rFonts w:ascii="Cambria" w:hAnsi="Cambria"/>
          <w:sz w:val="28"/>
          <w:szCs w:val="28"/>
          <w:lang w:val="uk-UA" w:eastAsia="uk-UA"/>
        </w:rPr>
      </w:pPr>
      <w:r w:rsidRPr="00424510">
        <w:rPr>
          <w:rFonts w:ascii="Cambria" w:hAnsi="Cambria"/>
          <w:sz w:val="28"/>
          <w:szCs w:val="28"/>
          <w:lang w:val="uk-UA" w:eastAsia="uk-UA"/>
        </w:rPr>
        <w:t>юридична особа та фізична особа – у разі здійснення фізичною особою повноважень одноосібного виконавчого органу такої юридичної особи;</w:t>
      </w:r>
    </w:p>
    <w:p w14:paraId="663E0123" w14:textId="77777777" w:rsidR="00424510" w:rsidRDefault="00650D40" w:rsidP="00424510">
      <w:pPr>
        <w:pStyle w:val="a5"/>
        <w:numPr>
          <w:ilvl w:val="0"/>
          <w:numId w:val="14"/>
        </w:numPr>
        <w:autoSpaceDE w:val="0"/>
        <w:autoSpaceDN w:val="0"/>
        <w:adjustRightInd w:val="0"/>
        <w:jc w:val="both"/>
        <w:rPr>
          <w:rFonts w:ascii="Cambria" w:hAnsi="Cambria"/>
          <w:sz w:val="28"/>
          <w:szCs w:val="28"/>
          <w:lang w:val="uk-UA" w:eastAsia="uk-UA"/>
        </w:rPr>
      </w:pPr>
      <w:r w:rsidRPr="00424510">
        <w:rPr>
          <w:rFonts w:ascii="Cambria" w:hAnsi="Cambria"/>
          <w:sz w:val="28"/>
          <w:szCs w:val="28"/>
          <w:lang w:val="uk-UA" w:eastAsia="uk-UA"/>
        </w:rPr>
        <w:t>юридичні особи, в яких повноваження одноосібного виконавчого органу здійснює одна і та ж особа;</w:t>
      </w:r>
    </w:p>
    <w:p w14:paraId="793ABBAF" w14:textId="77777777" w:rsidR="00424510" w:rsidRDefault="00650D40" w:rsidP="00424510">
      <w:pPr>
        <w:pStyle w:val="a5"/>
        <w:numPr>
          <w:ilvl w:val="0"/>
          <w:numId w:val="14"/>
        </w:numPr>
        <w:autoSpaceDE w:val="0"/>
        <w:autoSpaceDN w:val="0"/>
        <w:adjustRightInd w:val="0"/>
        <w:jc w:val="both"/>
        <w:rPr>
          <w:rFonts w:ascii="Cambria" w:hAnsi="Cambria"/>
          <w:sz w:val="28"/>
          <w:szCs w:val="28"/>
          <w:lang w:val="uk-UA" w:eastAsia="uk-UA"/>
        </w:rPr>
      </w:pPr>
      <w:r w:rsidRPr="00424510">
        <w:rPr>
          <w:rFonts w:ascii="Cambria" w:hAnsi="Cambria"/>
          <w:sz w:val="28"/>
          <w:szCs w:val="28"/>
          <w:lang w:val="uk-UA" w:eastAsia="uk-UA"/>
        </w:rPr>
        <w:t>фізичні особи: чоловік (дружина), батьки (у тому числі усиновителі), діти (повнолітні, неповнолітні, у тому числі усиновлені), повнорідні та неповнорідні брати і сестри, опікун, піклувальник і дитина, над якою встановлено опіку, піклування.</w:t>
      </w:r>
    </w:p>
    <w:p w14:paraId="7E0CA146" w14:textId="77777777" w:rsidR="00424510" w:rsidRDefault="00650D40" w:rsidP="00424510">
      <w:pPr>
        <w:autoSpaceDE w:val="0"/>
        <w:autoSpaceDN w:val="0"/>
        <w:adjustRightInd w:val="0"/>
        <w:ind w:firstLine="709"/>
        <w:jc w:val="both"/>
        <w:rPr>
          <w:rFonts w:ascii="Cambria" w:hAnsi="Cambria"/>
          <w:sz w:val="28"/>
          <w:szCs w:val="28"/>
          <w:lang w:val="uk-UA" w:eastAsia="uk-UA"/>
        </w:rPr>
      </w:pPr>
      <w:r w:rsidRPr="00424510">
        <w:rPr>
          <w:rFonts w:ascii="Cambria" w:hAnsi="Cambria"/>
          <w:sz w:val="28"/>
          <w:szCs w:val="28"/>
          <w:lang w:val="uk-UA" w:eastAsia="uk-UA"/>
        </w:rPr>
        <w:t xml:space="preserve">Змінами до Податкового кодексу вводиться зіставлення комерційних і фінансових умов операцій за результатами аналізу характеристик товарів (робіт, послуг); кількості товарів, обсягів </w:t>
      </w:r>
      <w:r w:rsidRPr="00424510">
        <w:rPr>
          <w:rFonts w:ascii="Cambria" w:hAnsi="Cambria"/>
          <w:sz w:val="28"/>
          <w:szCs w:val="28"/>
          <w:lang w:val="uk-UA" w:eastAsia="uk-UA"/>
        </w:rPr>
        <w:lastRenderedPageBreak/>
        <w:t xml:space="preserve">виконаних робіт (наданих послуг); строків виконання зобов'язань; умов здійснення платежів при проведенні операції; офіційного курсу гривні до іноземної валюти (у разі використання такої валюти у розрахунках при проведенні операції, зміни цього курсу); розміру звичайних надбавок чи знижок до ціни товарів (робіт, послуг), у тому числі знижок, обумовлених сезонними та іншими коливаннями споживчого попиту на товари (роботи, послуги), утратою товарами споживчих якостей, закінченням (наближенням дати закінчення) строку зберігання (придатності, реалізації), збутом неліквідних або низько ліквідних товарів; розподілу прав і обов'язків між сторонами угоди, визначених за результатами функціонального аналізу. </w:t>
      </w:r>
    </w:p>
    <w:p w14:paraId="5736FF4A" w14:textId="77777777" w:rsidR="00424510" w:rsidRDefault="00650D40" w:rsidP="00424510">
      <w:pPr>
        <w:autoSpaceDE w:val="0"/>
        <w:autoSpaceDN w:val="0"/>
        <w:adjustRightInd w:val="0"/>
        <w:ind w:firstLine="709"/>
        <w:jc w:val="both"/>
        <w:rPr>
          <w:rFonts w:ascii="Cambria" w:hAnsi="Cambria"/>
          <w:sz w:val="28"/>
          <w:szCs w:val="28"/>
          <w:lang w:val="uk-UA" w:eastAsia="uk-UA"/>
        </w:rPr>
      </w:pPr>
      <w:r w:rsidRPr="00424510">
        <w:rPr>
          <w:rFonts w:ascii="Cambria" w:hAnsi="Cambria"/>
          <w:sz w:val="28"/>
          <w:szCs w:val="28"/>
          <w:lang w:val="uk-UA" w:eastAsia="uk-UA"/>
        </w:rPr>
        <w:t xml:space="preserve">Разом із тим реалізація запропонованих законодавчих змін дозволить впливати на ціни всіх інвесторів, які будуть працювати з Україною. Для суб'єктів господарювання та податківців істотно збільшаться документообіг і навантаження через уведення нового виду податкового контролю. Введення нових стандартів ведення документації та правил визначення цін зажадають від платників податків часу для підготовки кваліфікованих кадрів, моніторингу трансфертних цін, програмного забезпечення для оптимізації роботи, зміни адміністративних процесів підприємства та документообігу. </w:t>
      </w:r>
    </w:p>
    <w:p w14:paraId="57F9FA36" w14:textId="77777777" w:rsidR="00424510" w:rsidRDefault="00650D40" w:rsidP="00424510">
      <w:pPr>
        <w:autoSpaceDE w:val="0"/>
        <w:autoSpaceDN w:val="0"/>
        <w:adjustRightInd w:val="0"/>
        <w:ind w:firstLine="709"/>
        <w:jc w:val="both"/>
        <w:rPr>
          <w:rFonts w:ascii="Cambria" w:hAnsi="Cambria"/>
          <w:sz w:val="28"/>
          <w:szCs w:val="28"/>
          <w:lang w:val="uk-UA" w:eastAsia="uk-UA"/>
        </w:rPr>
      </w:pPr>
      <w:r w:rsidRPr="00424510">
        <w:rPr>
          <w:rFonts w:ascii="Cambria" w:hAnsi="Cambria"/>
          <w:sz w:val="28"/>
          <w:szCs w:val="28"/>
          <w:lang w:val="uk-UA" w:eastAsia="uk-UA"/>
        </w:rPr>
        <w:t xml:space="preserve">Крім того, надаються додаткові преференції окремим галузям впливати на внутрішнє і зовнішнє ціноутворення, межі податкового моніторингу та контролю невиправдано розширюються, що призведе до неефективності і зайвих адміністративних витрат. Також під трансфертне ціноутворення підпадають внутрішні господарські операції. </w:t>
      </w:r>
    </w:p>
    <w:p w14:paraId="44CB70DF" w14:textId="75CE283A" w:rsidR="00713CA5" w:rsidRPr="00424510" w:rsidRDefault="00650D40" w:rsidP="00424510">
      <w:pPr>
        <w:autoSpaceDE w:val="0"/>
        <w:autoSpaceDN w:val="0"/>
        <w:adjustRightInd w:val="0"/>
        <w:ind w:firstLine="709"/>
        <w:jc w:val="both"/>
        <w:rPr>
          <w:rFonts w:ascii="Cambria" w:hAnsi="Cambria"/>
          <w:sz w:val="28"/>
          <w:szCs w:val="28"/>
          <w:lang w:val="uk-UA" w:eastAsia="uk-UA"/>
        </w:rPr>
      </w:pPr>
      <w:r w:rsidRPr="00424510">
        <w:rPr>
          <w:rFonts w:ascii="Cambria" w:hAnsi="Cambria"/>
          <w:sz w:val="28"/>
          <w:szCs w:val="28"/>
          <w:lang w:val="uk-UA" w:eastAsia="uk-UA"/>
        </w:rPr>
        <w:t>Крім того, деякі з положень Закону є неконкретними і дають можливість їх розширеного тлумачення податківцями. Тобто створено умови для неоднозначного трактування цін по контрольованим операціям та подвійного оподаткування, а також завищення органами контролю податкових зобов'язань суб'єктів господарювання. Тривалість перевірки контрольованих операцій може становити не більше шести місяців. При цьому періодичність цих перевірок законодавцем не визначена, що створює передумови для затягувань і безпідставних перевищень термінів перевірок. Термін проведення перевірки може бути продовжений знову до шести місяців у разі необхідності отримання інформації від іноземних державних органів, проведення експертизи та/або перекладу на українську мову документів, поданих платником</w:t>
      </w:r>
      <w:r w:rsidR="00C81100">
        <w:rPr>
          <w:rFonts w:ascii="Cambria" w:hAnsi="Cambria"/>
          <w:sz w:val="28"/>
          <w:szCs w:val="28"/>
          <w:lang w:val="uk-UA" w:eastAsia="uk-UA"/>
        </w:rPr>
        <w:t xml:space="preserve"> </w:t>
      </w:r>
      <w:r w:rsidR="00C81100" w:rsidRPr="00C81100">
        <w:rPr>
          <w:rFonts w:ascii="Cambria" w:hAnsi="Cambria"/>
          <w:sz w:val="28"/>
          <w:szCs w:val="28"/>
          <w:lang w:val="uk-UA" w:eastAsia="uk-UA"/>
        </w:rPr>
        <w:t>податків на іноземній мові. Таким чином, загальний термін перевірок зможе досягати одного календарного року.</w:t>
      </w:r>
    </w:p>
    <w:p w14:paraId="625EEE1A" w14:textId="58F4EC82" w:rsidR="00DE518B" w:rsidRDefault="00C81100" w:rsidP="00CA0CC4">
      <w:pPr>
        <w:autoSpaceDE w:val="0"/>
        <w:autoSpaceDN w:val="0"/>
        <w:adjustRightInd w:val="0"/>
        <w:ind w:firstLine="709"/>
        <w:jc w:val="both"/>
        <w:rPr>
          <w:rFonts w:ascii="Cambria" w:hAnsi="Cambria"/>
          <w:sz w:val="28"/>
          <w:szCs w:val="28"/>
          <w:lang w:val="uk-UA" w:eastAsia="uk-UA"/>
        </w:rPr>
      </w:pPr>
      <w:r>
        <w:rPr>
          <w:rFonts w:ascii="Cambria" w:hAnsi="Cambria"/>
          <w:sz w:val="28"/>
          <w:szCs w:val="28"/>
          <w:lang w:val="uk-UA" w:eastAsia="uk-UA"/>
        </w:rPr>
        <w:t>Тобто, в</w:t>
      </w:r>
      <w:r w:rsidR="00CA0CC4" w:rsidRPr="0077135F">
        <w:rPr>
          <w:rFonts w:ascii="Cambria" w:hAnsi="Cambria"/>
          <w:sz w:val="28"/>
          <w:szCs w:val="28"/>
          <w:lang w:val="uk-UA" w:eastAsia="uk-UA"/>
        </w:rPr>
        <w:t xml:space="preserve">ажливим інструментом контролінгу, який спрямований на координацію та управління децентралізованими структурними підрозділами підприємства, є внутрішні, або трансфертні, ціни. </w:t>
      </w:r>
    </w:p>
    <w:p w14:paraId="0A4CE364" w14:textId="124E56A7" w:rsidR="00CA0CC4" w:rsidRPr="0077135F" w:rsidRDefault="00CA0CC4" w:rsidP="00CA0CC4">
      <w:pPr>
        <w:autoSpaceDE w:val="0"/>
        <w:autoSpaceDN w:val="0"/>
        <w:adjustRightInd w:val="0"/>
        <w:ind w:firstLine="709"/>
        <w:jc w:val="both"/>
        <w:rPr>
          <w:rFonts w:ascii="Cambria" w:hAnsi="Cambria"/>
          <w:sz w:val="28"/>
          <w:szCs w:val="28"/>
          <w:lang w:val="uk-UA" w:eastAsia="uk-UA"/>
        </w:rPr>
      </w:pPr>
      <w:r w:rsidRPr="0077135F">
        <w:rPr>
          <w:rFonts w:ascii="Cambria" w:hAnsi="Cambria"/>
          <w:b/>
          <w:sz w:val="28"/>
          <w:szCs w:val="28"/>
          <w:lang w:val="uk-UA" w:eastAsia="uk-UA"/>
        </w:rPr>
        <w:t>Головна ідея трансфертного ціноутворення</w:t>
      </w:r>
      <w:r w:rsidRPr="0077135F">
        <w:rPr>
          <w:rFonts w:ascii="Cambria" w:hAnsi="Cambria"/>
          <w:sz w:val="28"/>
          <w:szCs w:val="28"/>
          <w:lang w:val="uk-UA" w:eastAsia="uk-UA"/>
        </w:rPr>
        <w:t xml:space="preserve"> полягає у створенні передумов для запровадження ринкових механізмів у відносинах між </w:t>
      </w:r>
      <w:r w:rsidRPr="0077135F">
        <w:rPr>
          <w:rFonts w:ascii="Cambria" w:hAnsi="Cambria"/>
          <w:sz w:val="28"/>
          <w:szCs w:val="28"/>
          <w:lang w:val="uk-UA" w:eastAsia="uk-UA"/>
        </w:rPr>
        <w:lastRenderedPageBreak/>
        <w:t>окремими структурними підрозділами, центрами відповідальності чи господарськими одиницями, які входять до складу одного підприємства (чи концерну).</w:t>
      </w:r>
    </w:p>
    <w:p w14:paraId="42BC2C6C" w14:textId="77777777" w:rsidR="00CA0CC4" w:rsidRPr="0077135F" w:rsidRDefault="00CA0CC4" w:rsidP="00CA0CC4">
      <w:pPr>
        <w:autoSpaceDE w:val="0"/>
        <w:autoSpaceDN w:val="0"/>
        <w:adjustRightInd w:val="0"/>
        <w:ind w:firstLine="709"/>
        <w:jc w:val="both"/>
        <w:rPr>
          <w:rFonts w:ascii="Cambria" w:hAnsi="Cambria"/>
          <w:sz w:val="28"/>
          <w:szCs w:val="28"/>
          <w:lang w:val="uk-UA" w:eastAsia="uk-UA"/>
        </w:rPr>
      </w:pPr>
      <w:r w:rsidRPr="0077135F">
        <w:rPr>
          <w:rFonts w:ascii="Cambria" w:hAnsi="Cambria"/>
          <w:sz w:val="28"/>
          <w:szCs w:val="28"/>
          <w:lang w:val="uk-UA" w:eastAsia="uk-UA"/>
        </w:rPr>
        <w:t>Трансфертне ціноутворення має сенс, якщо між окремими децентралізованими підрозділами підприємства відбувається трансфер товарів, робіт чи послуг, або вони перебувають у стані постійної конкуренції за обмежені ресурси.</w:t>
      </w:r>
    </w:p>
    <w:p w14:paraId="480114CF" w14:textId="13F4A6B4" w:rsidR="00CA0CC4" w:rsidRPr="0077135F" w:rsidRDefault="00CA0CC4" w:rsidP="00CA0CC4">
      <w:pPr>
        <w:autoSpaceDE w:val="0"/>
        <w:autoSpaceDN w:val="0"/>
        <w:adjustRightInd w:val="0"/>
        <w:ind w:firstLine="709"/>
        <w:jc w:val="both"/>
        <w:rPr>
          <w:rFonts w:ascii="Cambria" w:hAnsi="Cambria"/>
          <w:sz w:val="28"/>
          <w:szCs w:val="28"/>
          <w:lang w:val="uk-UA" w:eastAsia="uk-UA"/>
        </w:rPr>
      </w:pPr>
      <w:r w:rsidRPr="0077135F">
        <w:rPr>
          <w:rFonts w:ascii="Cambria" w:hAnsi="Cambria"/>
          <w:b/>
          <w:i/>
          <w:iCs/>
          <w:sz w:val="28"/>
          <w:szCs w:val="28"/>
          <w:lang w:val="uk-UA" w:eastAsia="uk-UA"/>
        </w:rPr>
        <w:t>Трансфертна ціна (ТЦ)</w:t>
      </w:r>
      <w:r w:rsidRPr="0077135F">
        <w:rPr>
          <w:rFonts w:ascii="Cambria" w:hAnsi="Cambria"/>
          <w:i/>
          <w:iCs/>
          <w:sz w:val="28"/>
          <w:szCs w:val="28"/>
          <w:lang w:val="uk-UA" w:eastAsia="uk-UA"/>
        </w:rPr>
        <w:t xml:space="preserve"> </w:t>
      </w:r>
      <w:r w:rsidR="0077135F">
        <w:rPr>
          <w:rFonts w:ascii="Cambria" w:hAnsi="Cambria"/>
          <w:i/>
          <w:iCs/>
          <w:sz w:val="28"/>
          <w:szCs w:val="28"/>
          <w:lang w:val="uk-UA" w:eastAsia="uk-UA"/>
        </w:rPr>
        <w:t>–</w:t>
      </w:r>
      <w:r w:rsidRPr="0077135F">
        <w:rPr>
          <w:rFonts w:ascii="Cambria" w:hAnsi="Cambria"/>
          <w:i/>
          <w:iCs/>
          <w:sz w:val="28"/>
          <w:szCs w:val="28"/>
          <w:lang w:val="uk-UA" w:eastAsia="uk-UA"/>
        </w:rPr>
        <w:t xml:space="preserve"> умовна ціна, за якою продукти (напівпродукти) або послуги одного центру відповідальності підприємства передаються іншому центру відповідальності цього підприємства (концерну, холдингу). </w:t>
      </w:r>
    </w:p>
    <w:p w14:paraId="6C88206A" w14:textId="77777777" w:rsidR="00CA0CC4" w:rsidRPr="0077135F" w:rsidRDefault="00CA0CC4" w:rsidP="00CA0CC4">
      <w:pPr>
        <w:autoSpaceDE w:val="0"/>
        <w:autoSpaceDN w:val="0"/>
        <w:adjustRightInd w:val="0"/>
        <w:ind w:firstLine="709"/>
        <w:jc w:val="both"/>
        <w:rPr>
          <w:rFonts w:ascii="Cambria" w:hAnsi="Cambria"/>
          <w:b/>
          <w:sz w:val="28"/>
          <w:szCs w:val="28"/>
          <w:lang w:val="uk-UA" w:eastAsia="uk-UA"/>
        </w:rPr>
      </w:pPr>
      <w:r w:rsidRPr="0077135F">
        <w:rPr>
          <w:rFonts w:ascii="Cambria" w:hAnsi="Cambria"/>
          <w:b/>
          <w:sz w:val="28"/>
          <w:szCs w:val="28"/>
          <w:lang w:val="uk-UA" w:eastAsia="uk-UA"/>
        </w:rPr>
        <w:t>Основні цілі трансфертного ціноутворення:</w:t>
      </w:r>
    </w:p>
    <w:p w14:paraId="3D506CD5" w14:textId="071BC932" w:rsidR="00CA0CC4" w:rsidRPr="00863319" w:rsidRDefault="00CA0CC4" w:rsidP="00863319">
      <w:pPr>
        <w:pStyle w:val="a5"/>
        <w:numPr>
          <w:ilvl w:val="0"/>
          <w:numId w:val="1"/>
        </w:numPr>
        <w:autoSpaceDE w:val="0"/>
        <w:autoSpaceDN w:val="0"/>
        <w:adjustRightInd w:val="0"/>
        <w:ind w:left="0" w:firstLine="709"/>
        <w:jc w:val="both"/>
        <w:rPr>
          <w:rFonts w:ascii="Cambria" w:hAnsi="Cambria"/>
          <w:sz w:val="28"/>
          <w:szCs w:val="28"/>
          <w:lang w:val="uk-UA" w:eastAsia="uk-UA"/>
        </w:rPr>
      </w:pPr>
      <w:r w:rsidRPr="00863319">
        <w:rPr>
          <w:rFonts w:ascii="Cambria" w:hAnsi="Cambria"/>
          <w:sz w:val="28"/>
          <w:szCs w:val="28"/>
          <w:lang w:val="uk-UA" w:eastAsia="uk-UA"/>
        </w:rPr>
        <w:t>забезпечення зіставності діяльності окремих центрів відповідальності (для порівняння їх внеску в загальні результати діяльності підприємства);</w:t>
      </w:r>
    </w:p>
    <w:p w14:paraId="516BF7A0" w14:textId="061E96D0" w:rsidR="00CA0CC4" w:rsidRPr="00863319" w:rsidRDefault="00CA0CC4" w:rsidP="00863319">
      <w:pPr>
        <w:pStyle w:val="a5"/>
        <w:numPr>
          <w:ilvl w:val="0"/>
          <w:numId w:val="1"/>
        </w:numPr>
        <w:autoSpaceDE w:val="0"/>
        <w:autoSpaceDN w:val="0"/>
        <w:adjustRightInd w:val="0"/>
        <w:ind w:left="0" w:firstLine="709"/>
        <w:jc w:val="both"/>
        <w:rPr>
          <w:rFonts w:ascii="Cambria" w:hAnsi="Cambria"/>
          <w:sz w:val="28"/>
          <w:szCs w:val="28"/>
          <w:lang w:val="uk-UA" w:eastAsia="uk-UA"/>
        </w:rPr>
      </w:pPr>
      <w:r w:rsidRPr="00863319">
        <w:rPr>
          <w:rFonts w:ascii="Cambria" w:hAnsi="Cambria"/>
          <w:sz w:val="28"/>
          <w:szCs w:val="28"/>
          <w:lang w:val="uk-UA" w:eastAsia="uk-UA"/>
        </w:rPr>
        <w:t>надання інформації для прийняття управлінських рішень, у тому числі прийняття рішення щодо аутсорсингу, внутрішнього чи зовнішнього продажу;</w:t>
      </w:r>
    </w:p>
    <w:p w14:paraId="3607A392" w14:textId="74D2E6FA" w:rsidR="00CA0CC4" w:rsidRPr="00863319" w:rsidRDefault="00CA0CC4" w:rsidP="00863319">
      <w:pPr>
        <w:pStyle w:val="a5"/>
        <w:numPr>
          <w:ilvl w:val="0"/>
          <w:numId w:val="1"/>
        </w:numPr>
        <w:autoSpaceDE w:val="0"/>
        <w:autoSpaceDN w:val="0"/>
        <w:adjustRightInd w:val="0"/>
        <w:ind w:left="0" w:firstLine="709"/>
        <w:jc w:val="both"/>
        <w:rPr>
          <w:rFonts w:ascii="Cambria" w:hAnsi="Cambria"/>
          <w:sz w:val="28"/>
          <w:szCs w:val="28"/>
          <w:lang w:val="uk-UA" w:eastAsia="uk-UA"/>
        </w:rPr>
      </w:pPr>
      <w:r w:rsidRPr="00863319">
        <w:rPr>
          <w:rFonts w:ascii="Cambria" w:hAnsi="Cambria"/>
          <w:sz w:val="28"/>
          <w:szCs w:val="28"/>
          <w:lang w:val="uk-UA" w:eastAsia="uk-UA"/>
        </w:rPr>
        <w:t xml:space="preserve">здійснення внутрішнього субсидіювання (якщо це необхідно) </w:t>
      </w:r>
      <w:r w:rsidR="00DF2807">
        <w:rPr>
          <w:rFonts w:ascii="Cambria" w:hAnsi="Cambria"/>
          <w:sz w:val="28"/>
          <w:szCs w:val="28"/>
          <w:lang w:val="uk-UA" w:eastAsia="uk-UA"/>
        </w:rPr>
        <w:t>–</w:t>
      </w:r>
      <w:r w:rsidRPr="00863319">
        <w:rPr>
          <w:rFonts w:ascii="Cambria" w:hAnsi="Cambria"/>
          <w:sz w:val="28"/>
          <w:szCs w:val="28"/>
          <w:lang w:val="uk-UA" w:eastAsia="uk-UA"/>
        </w:rPr>
        <w:t xml:space="preserve"> переміщення ресурсів чи прибутку від одних центрів відповідальності до інших;</w:t>
      </w:r>
    </w:p>
    <w:p w14:paraId="5E1AE7D6" w14:textId="0CB9935B" w:rsidR="00CA0CC4" w:rsidRPr="00863319" w:rsidRDefault="00CA0CC4" w:rsidP="00863319">
      <w:pPr>
        <w:pStyle w:val="a5"/>
        <w:numPr>
          <w:ilvl w:val="0"/>
          <w:numId w:val="1"/>
        </w:numPr>
        <w:autoSpaceDE w:val="0"/>
        <w:autoSpaceDN w:val="0"/>
        <w:adjustRightInd w:val="0"/>
        <w:ind w:left="0" w:firstLine="709"/>
        <w:jc w:val="both"/>
        <w:rPr>
          <w:rFonts w:ascii="Cambria" w:hAnsi="Cambria"/>
          <w:sz w:val="28"/>
          <w:szCs w:val="28"/>
          <w:lang w:val="uk-UA" w:eastAsia="uk-UA"/>
        </w:rPr>
      </w:pPr>
      <w:r w:rsidRPr="00863319">
        <w:rPr>
          <w:rFonts w:ascii="Cambria" w:hAnsi="Cambria"/>
          <w:sz w:val="28"/>
          <w:szCs w:val="28"/>
          <w:lang w:val="uk-UA" w:eastAsia="uk-UA"/>
        </w:rPr>
        <w:t>забезпечення фінансової незалежності окремих центрів відповідальності та децентралізації управління;</w:t>
      </w:r>
    </w:p>
    <w:p w14:paraId="493CE7BD" w14:textId="55D49769" w:rsidR="00CA0CC4" w:rsidRPr="00863319" w:rsidRDefault="00CA0CC4" w:rsidP="00863319">
      <w:pPr>
        <w:pStyle w:val="a5"/>
        <w:numPr>
          <w:ilvl w:val="0"/>
          <w:numId w:val="1"/>
        </w:numPr>
        <w:autoSpaceDE w:val="0"/>
        <w:autoSpaceDN w:val="0"/>
        <w:adjustRightInd w:val="0"/>
        <w:ind w:left="0" w:firstLine="709"/>
        <w:jc w:val="both"/>
        <w:rPr>
          <w:rFonts w:ascii="Cambria" w:hAnsi="Cambria"/>
          <w:sz w:val="28"/>
          <w:szCs w:val="28"/>
          <w:lang w:val="uk-UA" w:eastAsia="uk-UA"/>
        </w:rPr>
      </w:pPr>
      <w:r w:rsidRPr="00863319">
        <w:rPr>
          <w:rFonts w:ascii="Cambria" w:hAnsi="Cambria"/>
          <w:sz w:val="28"/>
          <w:szCs w:val="28"/>
          <w:lang w:val="uk-UA" w:eastAsia="uk-UA"/>
        </w:rPr>
        <w:t>оптимізація оподаткування.</w:t>
      </w:r>
    </w:p>
    <w:p w14:paraId="4093262F" w14:textId="77777777" w:rsidR="00CA0CC4" w:rsidRPr="0077135F" w:rsidRDefault="00CA0CC4" w:rsidP="00CA0CC4">
      <w:pPr>
        <w:autoSpaceDE w:val="0"/>
        <w:autoSpaceDN w:val="0"/>
        <w:adjustRightInd w:val="0"/>
        <w:ind w:firstLine="709"/>
        <w:jc w:val="both"/>
        <w:rPr>
          <w:rFonts w:ascii="Cambria" w:hAnsi="Cambria"/>
          <w:b/>
          <w:i/>
          <w:iCs/>
          <w:sz w:val="28"/>
          <w:szCs w:val="28"/>
          <w:lang w:val="uk-UA" w:eastAsia="uk-UA"/>
        </w:rPr>
      </w:pPr>
      <w:r w:rsidRPr="0077135F">
        <w:rPr>
          <w:rFonts w:ascii="Cambria" w:hAnsi="Cambria"/>
          <w:b/>
          <w:sz w:val="28"/>
          <w:szCs w:val="28"/>
          <w:lang w:val="uk-UA" w:eastAsia="uk-UA"/>
        </w:rPr>
        <w:t xml:space="preserve">Можна виділити </w:t>
      </w:r>
      <w:r w:rsidRPr="0077135F">
        <w:rPr>
          <w:rFonts w:ascii="Cambria" w:hAnsi="Cambria"/>
          <w:b/>
          <w:i/>
          <w:iCs/>
          <w:sz w:val="28"/>
          <w:szCs w:val="28"/>
          <w:lang w:val="uk-UA" w:eastAsia="uk-UA"/>
        </w:rPr>
        <w:t>внутрішні та зовнішні функції трансфертних цін. Внутрішні функції:</w:t>
      </w:r>
    </w:p>
    <w:p w14:paraId="682CC1D2" w14:textId="376C8699" w:rsidR="00CA0CC4" w:rsidRPr="00863319" w:rsidRDefault="00CA0CC4" w:rsidP="00863319">
      <w:pPr>
        <w:pStyle w:val="a5"/>
        <w:numPr>
          <w:ilvl w:val="0"/>
          <w:numId w:val="3"/>
        </w:numPr>
        <w:autoSpaceDE w:val="0"/>
        <w:autoSpaceDN w:val="0"/>
        <w:adjustRightInd w:val="0"/>
        <w:jc w:val="both"/>
        <w:rPr>
          <w:rFonts w:ascii="Cambria" w:hAnsi="Cambria"/>
          <w:iCs/>
          <w:sz w:val="28"/>
          <w:szCs w:val="28"/>
          <w:lang w:val="uk-UA" w:eastAsia="uk-UA"/>
        </w:rPr>
      </w:pPr>
      <w:r w:rsidRPr="00863319">
        <w:rPr>
          <w:rFonts w:ascii="Cambria" w:hAnsi="Cambria"/>
          <w:iCs/>
          <w:sz w:val="28"/>
          <w:szCs w:val="28"/>
          <w:lang w:val="uk-UA" w:eastAsia="uk-UA"/>
        </w:rPr>
        <w:t>визначення результатів діяльності окремих центрів відповідальності (структурних підрозділів);</w:t>
      </w:r>
    </w:p>
    <w:p w14:paraId="181492F2" w14:textId="654DBA8D" w:rsidR="00CA0CC4" w:rsidRPr="00863319" w:rsidRDefault="00CA0CC4" w:rsidP="00863319">
      <w:pPr>
        <w:pStyle w:val="a5"/>
        <w:numPr>
          <w:ilvl w:val="0"/>
          <w:numId w:val="3"/>
        </w:numPr>
        <w:autoSpaceDE w:val="0"/>
        <w:autoSpaceDN w:val="0"/>
        <w:adjustRightInd w:val="0"/>
        <w:jc w:val="both"/>
        <w:rPr>
          <w:rFonts w:ascii="Cambria" w:hAnsi="Cambria"/>
          <w:iCs/>
          <w:sz w:val="28"/>
          <w:szCs w:val="28"/>
          <w:lang w:val="uk-UA" w:eastAsia="uk-UA"/>
        </w:rPr>
      </w:pPr>
      <w:r w:rsidRPr="00863319">
        <w:rPr>
          <w:rFonts w:ascii="Cambria" w:hAnsi="Cambria"/>
          <w:iCs/>
          <w:sz w:val="28"/>
          <w:szCs w:val="28"/>
          <w:lang w:val="uk-UA" w:eastAsia="uk-UA"/>
        </w:rPr>
        <w:t>координація діяльності децентралізованих структурних одиниць (центрів відповідальності);</w:t>
      </w:r>
    </w:p>
    <w:p w14:paraId="685618D7" w14:textId="2CFEBA72" w:rsidR="00CA0CC4" w:rsidRPr="00863319" w:rsidRDefault="00CA0CC4" w:rsidP="00863319">
      <w:pPr>
        <w:pStyle w:val="a5"/>
        <w:numPr>
          <w:ilvl w:val="0"/>
          <w:numId w:val="3"/>
        </w:numPr>
        <w:autoSpaceDE w:val="0"/>
        <w:autoSpaceDN w:val="0"/>
        <w:adjustRightInd w:val="0"/>
        <w:jc w:val="both"/>
        <w:rPr>
          <w:rFonts w:ascii="Cambria" w:hAnsi="Cambria"/>
          <w:iCs/>
          <w:sz w:val="28"/>
          <w:szCs w:val="28"/>
          <w:lang w:val="uk-UA" w:eastAsia="uk-UA"/>
        </w:rPr>
      </w:pPr>
      <w:r w:rsidRPr="00863319">
        <w:rPr>
          <w:rFonts w:ascii="Cambria" w:hAnsi="Cambria"/>
          <w:iCs/>
          <w:sz w:val="28"/>
          <w:szCs w:val="28"/>
          <w:lang w:val="uk-UA" w:eastAsia="uk-UA"/>
        </w:rPr>
        <w:t>калькулювання собівартості окремих видів готової продукції (чи проміжних продуктів);</w:t>
      </w:r>
    </w:p>
    <w:p w14:paraId="4A03E285" w14:textId="60EECE83" w:rsidR="00CA0CC4" w:rsidRPr="00863319" w:rsidRDefault="00CA0CC4" w:rsidP="00863319">
      <w:pPr>
        <w:pStyle w:val="a5"/>
        <w:numPr>
          <w:ilvl w:val="0"/>
          <w:numId w:val="3"/>
        </w:numPr>
        <w:autoSpaceDE w:val="0"/>
        <w:autoSpaceDN w:val="0"/>
        <w:adjustRightInd w:val="0"/>
        <w:jc w:val="both"/>
        <w:rPr>
          <w:rFonts w:ascii="Cambria" w:hAnsi="Cambria"/>
          <w:iCs/>
          <w:sz w:val="28"/>
          <w:szCs w:val="28"/>
          <w:lang w:val="uk-UA" w:eastAsia="uk-UA"/>
        </w:rPr>
      </w:pPr>
      <w:r w:rsidRPr="00863319">
        <w:rPr>
          <w:rFonts w:ascii="Cambria" w:hAnsi="Cambria"/>
          <w:iCs/>
          <w:sz w:val="28"/>
          <w:szCs w:val="28"/>
          <w:lang w:val="uk-UA" w:eastAsia="uk-UA"/>
        </w:rPr>
        <w:t>розроблення системи стимулювання менеджменту;</w:t>
      </w:r>
    </w:p>
    <w:p w14:paraId="1215F02C" w14:textId="45A5B997" w:rsidR="00CA0CC4" w:rsidRPr="00863319" w:rsidRDefault="00CA0CC4" w:rsidP="00863319">
      <w:pPr>
        <w:pStyle w:val="a5"/>
        <w:numPr>
          <w:ilvl w:val="0"/>
          <w:numId w:val="3"/>
        </w:numPr>
        <w:autoSpaceDE w:val="0"/>
        <w:autoSpaceDN w:val="0"/>
        <w:adjustRightInd w:val="0"/>
        <w:jc w:val="both"/>
        <w:rPr>
          <w:rFonts w:ascii="Cambria" w:hAnsi="Cambria"/>
          <w:iCs/>
          <w:sz w:val="28"/>
          <w:szCs w:val="28"/>
          <w:lang w:val="uk-UA" w:eastAsia="uk-UA"/>
        </w:rPr>
      </w:pPr>
      <w:r w:rsidRPr="00863319">
        <w:rPr>
          <w:rFonts w:ascii="Cambria" w:hAnsi="Cambria"/>
          <w:iCs/>
          <w:sz w:val="28"/>
          <w:szCs w:val="28"/>
          <w:lang w:val="uk-UA" w:eastAsia="uk-UA"/>
        </w:rPr>
        <w:t>активізація внутрішньої конкуренції.</w:t>
      </w:r>
    </w:p>
    <w:p w14:paraId="6EAB7204" w14:textId="77777777" w:rsidR="00CA0CC4" w:rsidRPr="0077135F" w:rsidRDefault="00CA0CC4" w:rsidP="00CA0CC4">
      <w:pPr>
        <w:autoSpaceDE w:val="0"/>
        <w:autoSpaceDN w:val="0"/>
        <w:adjustRightInd w:val="0"/>
        <w:ind w:firstLine="709"/>
        <w:jc w:val="both"/>
        <w:rPr>
          <w:rFonts w:ascii="Cambria" w:hAnsi="Cambria"/>
          <w:i/>
          <w:iCs/>
          <w:sz w:val="28"/>
          <w:szCs w:val="28"/>
          <w:lang w:val="uk-UA" w:eastAsia="uk-UA"/>
        </w:rPr>
      </w:pPr>
      <w:r w:rsidRPr="0077135F">
        <w:rPr>
          <w:rFonts w:ascii="Cambria" w:hAnsi="Cambria"/>
          <w:b/>
          <w:i/>
          <w:iCs/>
          <w:sz w:val="28"/>
          <w:szCs w:val="28"/>
          <w:lang w:val="uk-UA" w:eastAsia="uk-UA"/>
        </w:rPr>
        <w:t>Зовнішні функції</w:t>
      </w:r>
      <w:r w:rsidRPr="0077135F">
        <w:rPr>
          <w:rFonts w:ascii="Cambria" w:hAnsi="Cambria"/>
          <w:i/>
          <w:iCs/>
          <w:sz w:val="28"/>
          <w:szCs w:val="28"/>
          <w:lang w:val="uk-UA" w:eastAsia="uk-UA"/>
        </w:rPr>
        <w:t>:</w:t>
      </w:r>
    </w:p>
    <w:p w14:paraId="4241FFD6" w14:textId="30E875A6" w:rsidR="00CA0CC4" w:rsidRPr="00863319" w:rsidRDefault="00CA0CC4" w:rsidP="00863319">
      <w:pPr>
        <w:pStyle w:val="a5"/>
        <w:numPr>
          <w:ilvl w:val="0"/>
          <w:numId w:val="5"/>
        </w:numPr>
        <w:autoSpaceDE w:val="0"/>
        <w:autoSpaceDN w:val="0"/>
        <w:adjustRightInd w:val="0"/>
        <w:jc w:val="both"/>
        <w:rPr>
          <w:rFonts w:ascii="Cambria" w:hAnsi="Cambria"/>
          <w:iCs/>
          <w:sz w:val="28"/>
          <w:szCs w:val="28"/>
          <w:lang w:val="uk-UA" w:eastAsia="uk-UA"/>
        </w:rPr>
      </w:pPr>
      <w:r w:rsidRPr="00863319">
        <w:rPr>
          <w:rFonts w:ascii="Cambria" w:hAnsi="Cambria"/>
          <w:iCs/>
          <w:sz w:val="28"/>
          <w:szCs w:val="28"/>
          <w:lang w:val="uk-UA" w:eastAsia="uk-UA"/>
        </w:rPr>
        <w:t>оптимізація оподаткування;</w:t>
      </w:r>
    </w:p>
    <w:p w14:paraId="79007C4C" w14:textId="15A41D80" w:rsidR="00CA0CC4" w:rsidRPr="00863319" w:rsidRDefault="00CA0CC4" w:rsidP="00863319">
      <w:pPr>
        <w:pStyle w:val="a5"/>
        <w:numPr>
          <w:ilvl w:val="0"/>
          <w:numId w:val="5"/>
        </w:numPr>
        <w:autoSpaceDE w:val="0"/>
        <w:autoSpaceDN w:val="0"/>
        <w:adjustRightInd w:val="0"/>
        <w:jc w:val="both"/>
        <w:rPr>
          <w:rFonts w:ascii="Cambria" w:hAnsi="Cambria"/>
          <w:iCs/>
          <w:sz w:val="28"/>
          <w:szCs w:val="28"/>
          <w:lang w:val="uk-UA" w:eastAsia="uk-UA"/>
        </w:rPr>
      </w:pPr>
      <w:r w:rsidRPr="00863319">
        <w:rPr>
          <w:rFonts w:ascii="Cambria" w:hAnsi="Cambria"/>
          <w:iCs/>
          <w:sz w:val="28"/>
          <w:szCs w:val="28"/>
          <w:lang w:val="uk-UA" w:eastAsia="uk-UA"/>
        </w:rPr>
        <w:t>визначення результатів діяльності для зовнішніх користувачів;</w:t>
      </w:r>
    </w:p>
    <w:p w14:paraId="22AD5B5C" w14:textId="1D7A56F4" w:rsidR="00CA0CC4" w:rsidRPr="00863319" w:rsidRDefault="00CA0CC4" w:rsidP="00863319">
      <w:pPr>
        <w:pStyle w:val="a5"/>
        <w:numPr>
          <w:ilvl w:val="0"/>
          <w:numId w:val="5"/>
        </w:numPr>
        <w:autoSpaceDE w:val="0"/>
        <w:autoSpaceDN w:val="0"/>
        <w:adjustRightInd w:val="0"/>
        <w:jc w:val="both"/>
        <w:rPr>
          <w:rFonts w:ascii="Cambria" w:hAnsi="Cambria"/>
          <w:iCs/>
          <w:sz w:val="28"/>
          <w:szCs w:val="28"/>
          <w:lang w:val="uk-UA" w:eastAsia="uk-UA"/>
        </w:rPr>
      </w:pPr>
      <w:r w:rsidRPr="00863319">
        <w:rPr>
          <w:rFonts w:ascii="Cambria" w:hAnsi="Cambria"/>
          <w:iCs/>
          <w:sz w:val="28"/>
          <w:szCs w:val="28"/>
          <w:lang w:val="uk-UA" w:eastAsia="uk-UA"/>
        </w:rPr>
        <w:t>обґрунтовування (калькулювання) відпускних цін;</w:t>
      </w:r>
    </w:p>
    <w:p w14:paraId="6F9693B0" w14:textId="78D9572C" w:rsidR="00CA0CC4" w:rsidRPr="00863319" w:rsidRDefault="00CA0CC4" w:rsidP="00863319">
      <w:pPr>
        <w:pStyle w:val="a5"/>
        <w:numPr>
          <w:ilvl w:val="0"/>
          <w:numId w:val="5"/>
        </w:numPr>
        <w:autoSpaceDE w:val="0"/>
        <w:autoSpaceDN w:val="0"/>
        <w:adjustRightInd w:val="0"/>
        <w:jc w:val="both"/>
        <w:rPr>
          <w:rFonts w:ascii="Cambria" w:hAnsi="Cambria"/>
          <w:iCs/>
          <w:sz w:val="28"/>
          <w:szCs w:val="28"/>
          <w:lang w:val="uk-UA" w:eastAsia="uk-UA"/>
        </w:rPr>
      </w:pPr>
      <w:r w:rsidRPr="00863319">
        <w:rPr>
          <w:rFonts w:ascii="Cambria" w:hAnsi="Cambria"/>
          <w:iCs/>
          <w:sz w:val="28"/>
          <w:szCs w:val="28"/>
          <w:lang w:val="uk-UA" w:eastAsia="uk-UA"/>
        </w:rPr>
        <w:t>переведення капіталу від одних господарських структур до інших.</w:t>
      </w:r>
    </w:p>
    <w:p w14:paraId="7EACBAC6" w14:textId="77777777" w:rsidR="00CA0CC4" w:rsidRPr="0077135F" w:rsidRDefault="00CA0CC4" w:rsidP="00CA0CC4">
      <w:pPr>
        <w:autoSpaceDE w:val="0"/>
        <w:autoSpaceDN w:val="0"/>
        <w:adjustRightInd w:val="0"/>
        <w:ind w:firstLine="709"/>
        <w:jc w:val="both"/>
        <w:rPr>
          <w:rFonts w:ascii="Cambria" w:hAnsi="Cambria"/>
          <w:iCs/>
          <w:sz w:val="28"/>
          <w:szCs w:val="28"/>
          <w:lang w:val="uk-UA" w:eastAsia="uk-UA"/>
        </w:rPr>
      </w:pPr>
      <w:r w:rsidRPr="0077135F">
        <w:rPr>
          <w:rFonts w:ascii="Cambria" w:hAnsi="Cambria"/>
          <w:iCs/>
          <w:sz w:val="28"/>
          <w:szCs w:val="28"/>
          <w:lang w:val="uk-UA" w:eastAsia="uk-UA"/>
        </w:rPr>
        <w:t xml:space="preserve">Транснаціональні корпорації використовують трансфертні ціни також для здобуття певних позицій на нових ринках, поділу ринків між </w:t>
      </w:r>
      <w:r w:rsidRPr="0077135F">
        <w:rPr>
          <w:rFonts w:ascii="Cambria" w:hAnsi="Cambria"/>
          <w:iCs/>
          <w:sz w:val="28"/>
          <w:szCs w:val="28"/>
          <w:lang w:val="uk-UA" w:eastAsia="uk-UA"/>
        </w:rPr>
        <w:lastRenderedPageBreak/>
        <w:t>дочірніми компаніями, проведення єдиної політики в галузі обміну новими технологіями, надання технічних послуг дочірнім компаніям.</w:t>
      </w:r>
    </w:p>
    <w:p w14:paraId="4386373D" w14:textId="77777777" w:rsidR="00CA0CC4" w:rsidRPr="0077135F" w:rsidRDefault="00CA0CC4" w:rsidP="00CA0CC4">
      <w:pPr>
        <w:autoSpaceDE w:val="0"/>
        <w:autoSpaceDN w:val="0"/>
        <w:adjustRightInd w:val="0"/>
        <w:ind w:firstLine="709"/>
        <w:jc w:val="both"/>
        <w:rPr>
          <w:rFonts w:ascii="Cambria" w:hAnsi="Cambria"/>
          <w:iCs/>
          <w:sz w:val="28"/>
          <w:szCs w:val="28"/>
          <w:lang w:val="uk-UA" w:eastAsia="uk-UA"/>
        </w:rPr>
      </w:pPr>
      <w:r w:rsidRPr="0077135F">
        <w:rPr>
          <w:rFonts w:ascii="Cambria" w:hAnsi="Cambria"/>
          <w:b/>
          <w:iCs/>
          <w:sz w:val="28"/>
          <w:szCs w:val="28"/>
          <w:lang w:val="uk-UA" w:eastAsia="uk-UA"/>
        </w:rPr>
        <w:t>Таким чином, можна виділити дві системи організації ціноутворення</w:t>
      </w:r>
      <w:r w:rsidRPr="0077135F">
        <w:rPr>
          <w:rFonts w:ascii="Cambria" w:hAnsi="Cambria"/>
          <w:iCs/>
          <w:sz w:val="28"/>
          <w:szCs w:val="28"/>
          <w:lang w:val="uk-UA" w:eastAsia="uk-UA"/>
        </w:rPr>
        <w:t>.</w:t>
      </w:r>
    </w:p>
    <w:p w14:paraId="0F01FC00" w14:textId="77777777" w:rsidR="00CA0CC4" w:rsidRPr="0077135F" w:rsidRDefault="00CA0CC4" w:rsidP="00CA0CC4">
      <w:pPr>
        <w:autoSpaceDE w:val="0"/>
        <w:autoSpaceDN w:val="0"/>
        <w:adjustRightInd w:val="0"/>
        <w:ind w:firstLine="709"/>
        <w:jc w:val="both"/>
        <w:rPr>
          <w:rFonts w:ascii="Cambria" w:hAnsi="Cambria"/>
          <w:iCs/>
          <w:sz w:val="28"/>
          <w:szCs w:val="28"/>
          <w:lang w:val="uk-UA" w:eastAsia="uk-UA"/>
        </w:rPr>
      </w:pPr>
      <w:r w:rsidRPr="0077135F">
        <w:rPr>
          <w:rFonts w:ascii="Cambria" w:hAnsi="Cambria"/>
          <w:b/>
          <w:iCs/>
          <w:sz w:val="28"/>
          <w:szCs w:val="28"/>
          <w:lang w:val="uk-UA" w:eastAsia="uk-UA"/>
        </w:rPr>
        <w:t xml:space="preserve">За першої системи («внутрішні трансфертні ціни») </w:t>
      </w:r>
      <w:r w:rsidRPr="0077135F">
        <w:rPr>
          <w:rFonts w:ascii="Cambria" w:hAnsi="Cambria"/>
          <w:iCs/>
          <w:sz w:val="28"/>
          <w:szCs w:val="28"/>
          <w:lang w:val="uk-UA" w:eastAsia="uk-UA"/>
        </w:rPr>
        <w:t>внутрішні ціни впливають на результати діяльності окремих центрів відповідальності, які входять до складу одного юридично самостійного підприємства і зовсім не регулюють результати діяльності підприємства в цілому. У цьому разі ціни є нейтральними щодо податкового навантаження суб’єкта господарювання.</w:t>
      </w:r>
    </w:p>
    <w:p w14:paraId="5A2D417F" w14:textId="77777777" w:rsidR="00CA0CC4" w:rsidRPr="0077135F" w:rsidRDefault="00CA0CC4" w:rsidP="00CA0CC4">
      <w:pPr>
        <w:autoSpaceDE w:val="0"/>
        <w:autoSpaceDN w:val="0"/>
        <w:adjustRightInd w:val="0"/>
        <w:ind w:firstLine="709"/>
        <w:jc w:val="both"/>
        <w:rPr>
          <w:rFonts w:ascii="Cambria" w:hAnsi="Cambria"/>
          <w:iCs/>
          <w:sz w:val="28"/>
          <w:szCs w:val="28"/>
          <w:lang w:val="uk-UA" w:eastAsia="uk-UA"/>
        </w:rPr>
      </w:pPr>
      <w:r w:rsidRPr="0077135F">
        <w:rPr>
          <w:rFonts w:ascii="Cambria" w:hAnsi="Cambria"/>
          <w:b/>
          <w:iCs/>
          <w:sz w:val="28"/>
          <w:szCs w:val="28"/>
          <w:lang w:val="uk-UA" w:eastAsia="uk-UA"/>
        </w:rPr>
        <w:t>Інша система трансфертних цін</w:t>
      </w:r>
      <w:r w:rsidRPr="0077135F">
        <w:rPr>
          <w:rFonts w:ascii="Cambria" w:hAnsi="Cambria"/>
          <w:iCs/>
          <w:sz w:val="28"/>
          <w:szCs w:val="28"/>
          <w:lang w:val="uk-UA" w:eastAsia="uk-UA"/>
        </w:rPr>
        <w:t xml:space="preserve"> </w:t>
      </w:r>
      <w:r w:rsidRPr="0077135F">
        <w:rPr>
          <w:rFonts w:ascii="Cambria" w:hAnsi="Cambria"/>
          <w:b/>
          <w:iCs/>
          <w:sz w:val="28"/>
          <w:szCs w:val="28"/>
          <w:lang w:val="uk-UA" w:eastAsia="uk-UA"/>
        </w:rPr>
        <w:t>(«зовнішні трансфертні ціни»)</w:t>
      </w:r>
      <w:r w:rsidRPr="0077135F">
        <w:rPr>
          <w:rFonts w:ascii="Cambria" w:hAnsi="Cambria"/>
          <w:iCs/>
          <w:sz w:val="28"/>
          <w:szCs w:val="28"/>
          <w:lang w:val="uk-UA" w:eastAsia="uk-UA"/>
        </w:rPr>
        <w:t xml:space="preserve"> запроваджується всередині об’єднання підприємств, що належать до одного холдингу чи концерну. За цієї системи внутрішні ціни є інструментом «перекачування» прибутку від одних суб’єктів господарювання до інших, а отже, безпосередньо впливають на фінансові результати та податкове навантаження окремих підприємств. </w:t>
      </w:r>
    </w:p>
    <w:p w14:paraId="15369981" w14:textId="77777777" w:rsidR="00CA0CC4" w:rsidRPr="0077135F" w:rsidRDefault="00CA0CC4" w:rsidP="00CA0CC4">
      <w:pPr>
        <w:autoSpaceDE w:val="0"/>
        <w:autoSpaceDN w:val="0"/>
        <w:adjustRightInd w:val="0"/>
        <w:ind w:firstLine="709"/>
        <w:jc w:val="both"/>
        <w:rPr>
          <w:rFonts w:ascii="Cambria" w:hAnsi="Cambria"/>
          <w:i/>
          <w:iCs/>
          <w:sz w:val="28"/>
          <w:szCs w:val="28"/>
          <w:lang w:val="uk-UA" w:eastAsia="uk-UA"/>
        </w:rPr>
      </w:pPr>
    </w:p>
    <w:p w14:paraId="7DBB5B0F" w14:textId="77777777" w:rsidR="0077135F" w:rsidRDefault="0077135F" w:rsidP="0077135F">
      <w:pPr>
        <w:autoSpaceDE w:val="0"/>
        <w:autoSpaceDN w:val="0"/>
        <w:adjustRightInd w:val="0"/>
        <w:jc w:val="both"/>
        <w:rPr>
          <w:rFonts w:ascii="Cambria" w:hAnsi="Cambria"/>
          <w:b/>
          <w:bCs/>
          <w:iCs/>
          <w:sz w:val="28"/>
          <w:szCs w:val="28"/>
          <w:lang w:val="uk-UA" w:eastAsia="uk-UA"/>
        </w:rPr>
      </w:pPr>
    </w:p>
    <w:p w14:paraId="62597629" w14:textId="217F6ACB" w:rsidR="0077135F" w:rsidRDefault="0077135F" w:rsidP="0077135F">
      <w:pPr>
        <w:autoSpaceDE w:val="0"/>
        <w:autoSpaceDN w:val="0"/>
        <w:adjustRightInd w:val="0"/>
        <w:jc w:val="both"/>
        <w:rPr>
          <w:rFonts w:ascii="Cambria" w:hAnsi="Cambria"/>
          <w:b/>
          <w:bCs/>
          <w:iCs/>
          <w:sz w:val="28"/>
          <w:szCs w:val="28"/>
          <w:lang w:val="uk-UA" w:eastAsia="uk-UA"/>
        </w:rPr>
      </w:pPr>
      <w:r>
        <w:rPr>
          <w:rFonts w:ascii="Cambria" w:hAnsi="Cambria"/>
          <w:b/>
          <w:bCs/>
          <w:iCs/>
          <w:sz w:val="28"/>
          <w:szCs w:val="28"/>
          <w:lang w:val="uk-UA" w:eastAsia="uk-UA"/>
        </w:rPr>
        <w:t>ПИТАННЯ 2</w:t>
      </w:r>
    </w:p>
    <w:p w14:paraId="3030AE69" w14:textId="77777777" w:rsidR="0077135F" w:rsidRDefault="0077135F" w:rsidP="0077135F">
      <w:pPr>
        <w:autoSpaceDE w:val="0"/>
        <w:autoSpaceDN w:val="0"/>
        <w:adjustRightInd w:val="0"/>
        <w:jc w:val="both"/>
        <w:rPr>
          <w:rFonts w:ascii="Cambria" w:hAnsi="Cambria"/>
          <w:b/>
          <w:bCs/>
          <w:iCs/>
          <w:sz w:val="28"/>
          <w:szCs w:val="28"/>
          <w:lang w:val="uk-UA" w:eastAsia="uk-UA"/>
        </w:rPr>
      </w:pPr>
    </w:p>
    <w:p w14:paraId="6AABA0B5" w14:textId="290FE88F" w:rsidR="00CA0CC4" w:rsidRPr="0077135F" w:rsidRDefault="00CA0CC4" w:rsidP="0077135F">
      <w:pPr>
        <w:autoSpaceDE w:val="0"/>
        <w:autoSpaceDN w:val="0"/>
        <w:adjustRightInd w:val="0"/>
        <w:jc w:val="both"/>
        <w:rPr>
          <w:rFonts w:ascii="Cambria" w:hAnsi="Cambria"/>
          <w:b/>
          <w:bCs/>
          <w:iCs/>
          <w:sz w:val="28"/>
          <w:szCs w:val="28"/>
          <w:lang w:val="uk-UA" w:eastAsia="uk-UA"/>
        </w:rPr>
      </w:pPr>
      <w:r w:rsidRPr="0077135F">
        <w:rPr>
          <w:rFonts w:ascii="Cambria" w:hAnsi="Cambria"/>
          <w:b/>
          <w:bCs/>
          <w:iCs/>
          <w:sz w:val="28"/>
          <w:szCs w:val="28"/>
          <w:lang w:val="uk-UA" w:eastAsia="uk-UA"/>
        </w:rPr>
        <w:t>Методи трансфертного ціноутворення</w:t>
      </w:r>
    </w:p>
    <w:p w14:paraId="55413E75" w14:textId="77777777" w:rsidR="00CA0CC4" w:rsidRPr="0077135F" w:rsidRDefault="00CA0CC4" w:rsidP="00CA0CC4">
      <w:pPr>
        <w:autoSpaceDE w:val="0"/>
        <w:autoSpaceDN w:val="0"/>
        <w:adjustRightInd w:val="0"/>
        <w:ind w:firstLine="709"/>
        <w:jc w:val="both"/>
        <w:rPr>
          <w:rFonts w:ascii="Cambria" w:hAnsi="Cambria"/>
          <w:b/>
          <w:i/>
          <w:iCs/>
          <w:sz w:val="28"/>
          <w:szCs w:val="28"/>
          <w:lang w:val="uk-UA" w:eastAsia="uk-UA"/>
        </w:rPr>
      </w:pPr>
      <w:r w:rsidRPr="0077135F">
        <w:rPr>
          <w:rFonts w:ascii="Cambria" w:hAnsi="Cambria"/>
          <w:b/>
          <w:i/>
          <w:iCs/>
          <w:sz w:val="28"/>
          <w:szCs w:val="28"/>
          <w:lang w:val="uk-UA" w:eastAsia="uk-UA"/>
        </w:rPr>
        <w:t>На сьогоднішній день домінують три методичні підходи до встановлення трансфертних цін (ТЦ):</w:t>
      </w:r>
    </w:p>
    <w:p w14:paraId="4305EE43" w14:textId="704EF7B8" w:rsidR="00CA0CC4" w:rsidRPr="00863319" w:rsidRDefault="00CA0CC4" w:rsidP="00863319">
      <w:pPr>
        <w:pStyle w:val="a5"/>
        <w:numPr>
          <w:ilvl w:val="0"/>
          <w:numId w:val="7"/>
        </w:numPr>
        <w:autoSpaceDE w:val="0"/>
        <w:autoSpaceDN w:val="0"/>
        <w:adjustRightInd w:val="0"/>
        <w:jc w:val="both"/>
        <w:rPr>
          <w:rFonts w:ascii="Cambria" w:hAnsi="Cambria"/>
          <w:i/>
          <w:iCs/>
          <w:sz w:val="28"/>
          <w:szCs w:val="28"/>
          <w:lang w:val="uk-UA" w:eastAsia="uk-UA"/>
        </w:rPr>
      </w:pPr>
      <w:r w:rsidRPr="00863319">
        <w:rPr>
          <w:rFonts w:ascii="Cambria" w:hAnsi="Cambria"/>
          <w:i/>
          <w:iCs/>
          <w:sz w:val="28"/>
          <w:szCs w:val="28"/>
          <w:lang w:val="uk-UA" w:eastAsia="uk-UA"/>
        </w:rPr>
        <w:t>ТЦ, установлені на базі ринкових цін;</w:t>
      </w:r>
    </w:p>
    <w:p w14:paraId="55925F6C" w14:textId="20825278" w:rsidR="00CA0CC4" w:rsidRPr="00863319" w:rsidRDefault="00CA0CC4" w:rsidP="00863319">
      <w:pPr>
        <w:pStyle w:val="a5"/>
        <w:numPr>
          <w:ilvl w:val="0"/>
          <w:numId w:val="7"/>
        </w:numPr>
        <w:autoSpaceDE w:val="0"/>
        <w:autoSpaceDN w:val="0"/>
        <w:adjustRightInd w:val="0"/>
        <w:jc w:val="both"/>
        <w:rPr>
          <w:rFonts w:ascii="Cambria" w:hAnsi="Cambria"/>
          <w:i/>
          <w:iCs/>
          <w:sz w:val="28"/>
          <w:szCs w:val="28"/>
          <w:lang w:val="uk-UA" w:eastAsia="uk-UA"/>
        </w:rPr>
      </w:pPr>
      <w:r w:rsidRPr="00863319">
        <w:rPr>
          <w:rFonts w:ascii="Cambria" w:hAnsi="Cambria"/>
          <w:i/>
          <w:iCs/>
          <w:sz w:val="28"/>
          <w:szCs w:val="28"/>
          <w:lang w:val="uk-UA" w:eastAsia="uk-UA"/>
        </w:rPr>
        <w:t>ТЦ, що базуються на витратах (змінних чи повних);</w:t>
      </w:r>
    </w:p>
    <w:p w14:paraId="6B639F54" w14:textId="42A28C8D" w:rsidR="00CA0CC4" w:rsidRPr="00863319" w:rsidRDefault="00CA0CC4" w:rsidP="00863319">
      <w:pPr>
        <w:pStyle w:val="a5"/>
        <w:numPr>
          <w:ilvl w:val="0"/>
          <w:numId w:val="7"/>
        </w:numPr>
        <w:autoSpaceDE w:val="0"/>
        <w:autoSpaceDN w:val="0"/>
        <w:adjustRightInd w:val="0"/>
        <w:jc w:val="both"/>
        <w:rPr>
          <w:rFonts w:ascii="Cambria" w:hAnsi="Cambria"/>
          <w:i/>
          <w:iCs/>
          <w:sz w:val="28"/>
          <w:szCs w:val="28"/>
          <w:lang w:val="uk-UA" w:eastAsia="uk-UA"/>
        </w:rPr>
      </w:pPr>
      <w:r w:rsidRPr="00863319">
        <w:rPr>
          <w:rFonts w:ascii="Cambria" w:hAnsi="Cambria"/>
          <w:i/>
          <w:iCs/>
          <w:sz w:val="28"/>
          <w:szCs w:val="28"/>
          <w:lang w:val="uk-UA" w:eastAsia="uk-UA"/>
        </w:rPr>
        <w:t>ТЦ на договірній базі.</w:t>
      </w:r>
    </w:p>
    <w:p w14:paraId="67E44556" w14:textId="77777777" w:rsidR="00CA0CC4" w:rsidRPr="0077135F" w:rsidRDefault="00CA0CC4" w:rsidP="00CA0CC4">
      <w:pPr>
        <w:autoSpaceDE w:val="0"/>
        <w:autoSpaceDN w:val="0"/>
        <w:adjustRightInd w:val="0"/>
        <w:ind w:firstLine="709"/>
        <w:jc w:val="both"/>
        <w:rPr>
          <w:rFonts w:ascii="Cambria" w:hAnsi="Cambria"/>
          <w:b/>
          <w:iCs/>
          <w:sz w:val="28"/>
          <w:szCs w:val="28"/>
          <w:lang w:val="uk-UA" w:eastAsia="uk-UA"/>
        </w:rPr>
      </w:pPr>
      <w:r w:rsidRPr="0077135F">
        <w:rPr>
          <w:rFonts w:ascii="Cambria" w:hAnsi="Cambria"/>
          <w:b/>
          <w:iCs/>
          <w:sz w:val="28"/>
          <w:szCs w:val="28"/>
          <w:lang w:val="uk-UA" w:eastAsia="uk-UA"/>
        </w:rPr>
        <w:t xml:space="preserve">ТЦ, установлені на базі ринкових цін. </w:t>
      </w:r>
      <w:r w:rsidRPr="0077135F">
        <w:rPr>
          <w:rFonts w:ascii="Cambria" w:hAnsi="Cambria"/>
          <w:iCs/>
          <w:sz w:val="28"/>
          <w:szCs w:val="28"/>
          <w:lang w:val="uk-UA" w:eastAsia="uk-UA"/>
        </w:rPr>
        <w:t xml:space="preserve">Якщо існує ринок проміжного продукту, то ТЦ слід установлювати на рівні ринкових цін проміжних продуктів. У практичній діяльності підприємств найчастіше використовують саме трансфертні ціни, розраховані на базі ринкових цін. Це зумовлено високим рівнем прозорості таких цін та неможливістю маніпулювання ними. </w:t>
      </w:r>
      <w:r w:rsidRPr="0077135F">
        <w:rPr>
          <w:rFonts w:ascii="Cambria" w:hAnsi="Cambria"/>
          <w:b/>
          <w:iCs/>
          <w:sz w:val="28"/>
          <w:szCs w:val="28"/>
          <w:lang w:val="uk-UA" w:eastAsia="uk-UA"/>
        </w:rPr>
        <w:t>Ефективне застосування ринкових цін як внутрішніх можливе за наявності певних передумов, зокрема:</w:t>
      </w:r>
    </w:p>
    <w:p w14:paraId="3B44DCC5" w14:textId="12662E08" w:rsidR="00CA0CC4" w:rsidRPr="00477C4C" w:rsidRDefault="00CA0CC4" w:rsidP="00477C4C">
      <w:pPr>
        <w:pStyle w:val="a5"/>
        <w:numPr>
          <w:ilvl w:val="1"/>
          <w:numId w:val="9"/>
        </w:numPr>
        <w:autoSpaceDE w:val="0"/>
        <w:autoSpaceDN w:val="0"/>
        <w:adjustRightInd w:val="0"/>
        <w:ind w:left="709"/>
        <w:jc w:val="both"/>
        <w:rPr>
          <w:rFonts w:ascii="Cambria" w:hAnsi="Cambria"/>
          <w:iCs/>
          <w:sz w:val="28"/>
          <w:szCs w:val="28"/>
          <w:lang w:val="uk-UA" w:eastAsia="uk-UA"/>
        </w:rPr>
      </w:pPr>
      <w:r w:rsidRPr="00477C4C">
        <w:rPr>
          <w:rFonts w:ascii="Cambria" w:hAnsi="Cambria"/>
          <w:iCs/>
          <w:sz w:val="28"/>
          <w:szCs w:val="28"/>
          <w:lang w:val="uk-UA" w:eastAsia="uk-UA"/>
        </w:rPr>
        <w:t>на зовнішньому ринку має бути в обігу продукт, аналогічний тому, на який установлюється внутрішня ціна;</w:t>
      </w:r>
    </w:p>
    <w:p w14:paraId="5BD633F4" w14:textId="34C21356" w:rsidR="00CA0CC4" w:rsidRPr="00477C4C" w:rsidRDefault="00CA0CC4" w:rsidP="00477C4C">
      <w:pPr>
        <w:pStyle w:val="a5"/>
        <w:numPr>
          <w:ilvl w:val="1"/>
          <w:numId w:val="9"/>
        </w:numPr>
        <w:autoSpaceDE w:val="0"/>
        <w:autoSpaceDN w:val="0"/>
        <w:adjustRightInd w:val="0"/>
        <w:ind w:left="709"/>
        <w:jc w:val="both"/>
        <w:rPr>
          <w:rFonts w:ascii="Cambria" w:hAnsi="Cambria"/>
          <w:iCs/>
          <w:sz w:val="28"/>
          <w:szCs w:val="28"/>
          <w:lang w:val="uk-UA" w:eastAsia="uk-UA"/>
        </w:rPr>
      </w:pPr>
      <w:r w:rsidRPr="00477C4C">
        <w:rPr>
          <w:rFonts w:ascii="Cambria" w:hAnsi="Cambria"/>
          <w:iCs/>
          <w:sz w:val="28"/>
          <w:szCs w:val="28"/>
          <w:lang w:val="uk-UA" w:eastAsia="uk-UA"/>
        </w:rPr>
        <w:t>у внутрішніх структурних одиницях, які є продавцями та споживачами відповідного продукту, має бути свобода вибору між внутрішнім і зовнішнім ринками;</w:t>
      </w:r>
    </w:p>
    <w:p w14:paraId="4393EEEF" w14:textId="1D69A049" w:rsidR="00CA0CC4" w:rsidRPr="00477C4C" w:rsidRDefault="00CA0CC4" w:rsidP="00477C4C">
      <w:pPr>
        <w:pStyle w:val="a5"/>
        <w:numPr>
          <w:ilvl w:val="1"/>
          <w:numId w:val="9"/>
        </w:numPr>
        <w:autoSpaceDE w:val="0"/>
        <w:autoSpaceDN w:val="0"/>
        <w:adjustRightInd w:val="0"/>
        <w:ind w:left="709"/>
        <w:jc w:val="both"/>
        <w:rPr>
          <w:rFonts w:ascii="Cambria" w:hAnsi="Cambria"/>
          <w:iCs/>
          <w:sz w:val="28"/>
          <w:szCs w:val="28"/>
          <w:lang w:val="uk-UA" w:eastAsia="uk-UA"/>
        </w:rPr>
      </w:pPr>
      <w:r w:rsidRPr="00477C4C">
        <w:rPr>
          <w:rFonts w:ascii="Cambria" w:hAnsi="Cambria"/>
          <w:iCs/>
          <w:sz w:val="28"/>
          <w:szCs w:val="28"/>
          <w:lang w:val="uk-UA" w:eastAsia="uk-UA"/>
        </w:rPr>
        <w:t>відсутній ефект синергізму: у структурного підрозділу, що є постачальником, однакові виробничі витрати як за внутрішньої, так і за зовнішньої реалізації;</w:t>
      </w:r>
    </w:p>
    <w:p w14:paraId="1D4211C1" w14:textId="25C88FBD" w:rsidR="00CA0CC4" w:rsidRPr="00477C4C" w:rsidRDefault="00CA0CC4" w:rsidP="00477C4C">
      <w:pPr>
        <w:pStyle w:val="a5"/>
        <w:numPr>
          <w:ilvl w:val="1"/>
          <w:numId w:val="9"/>
        </w:numPr>
        <w:autoSpaceDE w:val="0"/>
        <w:autoSpaceDN w:val="0"/>
        <w:adjustRightInd w:val="0"/>
        <w:ind w:left="709"/>
        <w:jc w:val="both"/>
        <w:rPr>
          <w:rFonts w:ascii="Cambria" w:hAnsi="Cambria"/>
          <w:iCs/>
          <w:sz w:val="28"/>
          <w:szCs w:val="28"/>
          <w:lang w:val="uk-UA" w:eastAsia="uk-UA"/>
        </w:rPr>
      </w:pPr>
      <w:r w:rsidRPr="00477C4C">
        <w:rPr>
          <w:rFonts w:ascii="Cambria" w:hAnsi="Cambria"/>
          <w:iCs/>
          <w:sz w:val="28"/>
          <w:szCs w:val="28"/>
          <w:lang w:val="uk-UA" w:eastAsia="uk-UA"/>
        </w:rPr>
        <w:t>трансакції всередині підприємства не впливають на ціноутворення на зовнішньому ринку.</w:t>
      </w:r>
    </w:p>
    <w:p w14:paraId="0AAFE52B" w14:textId="77777777" w:rsidR="00CA0CC4" w:rsidRPr="0077135F" w:rsidRDefault="00CA0CC4" w:rsidP="00CA0CC4">
      <w:pPr>
        <w:autoSpaceDE w:val="0"/>
        <w:autoSpaceDN w:val="0"/>
        <w:adjustRightInd w:val="0"/>
        <w:ind w:firstLine="709"/>
        <w:jc w:val="both"/>
        <w:rPr>
          <w:rFonts w:ascii="Cambria" w:hAnsi="Cambria"/>
          <w:i/>
          <w:iCs/>
          <w:sz w:val="28"/>
          <w:szCs w:val="28"/>
          <w:lang w:val="uk-UA" w:eastAsia="uk-UA"/>
        </w:rPr>
      </w:pPr>
      <w:r w:rsidRPr="0077135F">
        <w:rPr>
          <w:rFonts w:ascii="Cambria" w:hAnsi="Cambria"/>
          <w:iCs/>
          <w:sz w:val="28"/>
          <w:szCs w:val="28"/>
          <w:lang w:val="uk-UA" w:eastAsia="uk-UA"/>
        </w:rPr>
        <w:lastRenderedPageBreak/>
        <w:t>Після вибору ціни продукту, яка діє на зовнішньому ринку, необхідно здійснити ряд коригувань, пов’язаних з умовами поставки продукту, транспортними витратами, непрямими витратами.</w:t>
      </w:r>
      <w:r w:rsidRPr="0077135F">
        <w:rPr>
          <w:rFonts w:ascii="Cambria" w:hAnsi="Cambria"/>
          <w:i/>
          <w:iCs/>
          <w:sz w:val="28"/>
          <w:szCs w:val="28"/>
          <w:lang w:val="uk-UA" w:eastAsia="uk-UA"/>
        </w:rPr>
        <w:t xml:space="preserve"> </w:t>
      </w:r>
    </w:p>
    <w:p w14:paraId="18F7641C" w14:textId="77777777" w:rsidR="00CA0CC4" w:rsidRPr="0077135F" w:rsidRDefault="00CA0CC4" w:rsidP="00CA0CC4">
      <w:pPr>
        <w:autoSpaceDE w:val="0"/>
        <w:autoSpaceDN w:val="0"/>
        <w:adjustRightInd w:val="0"/>
        <w:ind w:firstLine="709"/>
        <w:jc w:val="both"/>
        <w:rPr>
          <w:rFonts w:ascii="Cambria" w:hAnsi="Cambria"/>
          <w:iCs/>
          <w:sz w:val="28"/>
          <w:szCs w:val="28"/>
          <w:lang w:val="uk-UA" w:eastAsia="uk-UA"/>
        </w:rPr>
      </w:pPr>
      <w:r w:rsidRPr="0077135F">
        <w:rPr>
          <w:rFonts w:ascii="Cambria" w:hAnsi="Cambria"/>
          <w:b/>
          <w:iCs/>
          <w:sz w:val="28"/>
          <w:szCs w:val="28"/>
          <w:lang w:val="uk-UA" w:eastAsia="uk-UA"/>
        </w:rPr>
        <w:t xml:space="preserve">ТЦ, що базуються на витратах (змінних чи повних). </w:t>
      </w:r>
      <w:r w:rsidRPr="0077135F">
        <w:rPr>
          <w:rFonts w:ascii="Cambria" w:hAnsi="Cambria"/>
          <w:iCs/>
          <w:sz w:val="28"/>
          <w:szCs w:val="28"/>
          <w:lang w:val="uk-UA" w:eastAsia="uk-UA"/>
        </w:rPr>
        <w:t xml:space="preserve">Використання витрат як орієнтиру для встановлення трансфертних цін обґрунтовується тим, що витрати є основою калькуляції ціни для зовнішньої реалізації. Якщо базою для трансфертного ціноутворення є витрати, то можливі різні модифікації цін. </w:t>
      </w:r>
      <w:r w:rsidRPr="0077135F">
        <w:rPr>
          <w:rFonts w:ascii="Cambria" w:hAnsi="Cambria"/>
          <w:b/>
          <w:iCs/>
          <w:sz w:val="28"/>
          <w:szCs w:val="28"/>
          <w:lang w:val="uk-UA" w:eastAsia="uk-UA"/>
        </w:rPr>
        <w:t xml:space="preserve">Основними варіантами є такі: </w:t>
      </w:r>
      <w:r w:rsidRPr="0077135F">
        <w:rPr>
          <w:rFonts w:ascii="Cambria" w:hAnsi="Cambria"/>
          <w:iCs/>
          <w:sz w:val="28"/>
          <w:szCs w:val="28"/>
          <w:lang w:val="uk-UA" w:eastAsia="uk-UA"/>
        </w:rPr>
        <w:t>ціна встановлюється на базі граничних (маржинальних) витрат; на базі повних витрат; витрати плюс надбавка.</w:t>
      </w:r>
    </w:p>
    <w:p w14:paraId="65C85691" w14:textId="5565558A" w:rsidR="00CA0CC4" w:rsidRPr="0077135F" w:rsidRDefault="00CA0CC4" w:rsidP="00CA0CC4">
      <w:pPr>
        <w:autoSpaceDE w:val="0"/>
        <w:autoSpaceDN w:val="0"/>
        <w:adjustRightInd w:val="0"/>
        <w:ind w:firstLine="709"/>
        <w:jc w:val="both"/>
        <w:rPr>
          <w:rFonts w:ascii="Cambria" w:hAnsi="Cambria"/>
          <w:iCs/>
          <w:sz w:val="28"/>
          <w:szCs w:val="28"/>
          <w:lang w:val="uk-UA" w:eastAsia="uk-UA"/>
        </w:rPr>
      </w:pPr>
      <w:r w:rsidRPr="0077135F">
        <w:rPr>
          <w:rFonts w:ascii="Cambria" w:hAnsi="Cambria"/>
          <w:iCs/>
          <w:sz w:val="28"/>
          <w:szCs w:val="28"/>
          <w:lang w:val="uk-UA" w:eastAsia="uk-UA"/>
        </w:rPr>
        <w:t xml:space="preserve">У разі використання </w:t>
      </w:r>
      <w:r w:rsidRPr="0077135F">
        <w:rPr>
          <w:rFonts w:ascii="Cambria" w:hAnsi="Cambria"/>
          <w:b/>
          <w:bCs/>
          <w:iCs/>
          <w:sz w:val="28"/>
          <w:szCs w:val="28"/>
          <w:lang w:val="uk-UA" w:eastAsia="uk-UA"/>
        </w:rPr>
        <w:t xml:space="preserve">маржинальних (граничних) витрат </w:t>
      </w:r>
      <w:r w:rsidRPr="0077135F">
        <w:rPr>
          <w:rFonts w:ascii="Cambria" w:hAnsi="Cambria"/>
          <w:iCs/>
          <w:sz w:val="28"/>
          <w:szCs w:val="28"/>
          <w:lang w:val="uk-UA" w:eastAsia="uk-UA"/>
        </w:rPr>
        <w:t xml:space="preserve">як бази для внутрішнього ціноутворення, для розрахунків ураховуються лише змінні витрати. Постійні витрати покладаються на структурну одиницю, яка є постачальником продукту. Це виправдано, якщо відповідний центр відповідальності самостійно приймає рішення на основі розрахунку суми покриття. З теоретичної точки зору маржинальна ціна </w:t>
      </w:r>
      <w:r w:rsidR="00DF2807">
        <w:rPr>
          <w:rFonts w:ascii="Cambria" w:hAnsi="Cambria"/>
          <w:iCs/>
          <w:sz w:val="28"/>
          <w:szCs w:val="28"/>
          <w:lang w:val="uk-UA" w:eastAsia="uk-UA"/>
        </w:rPr>
        <w:t>–</w:t>
      </w:r>
      <w:r w:rsidRPr="0077135F">
        <w:rPr>
          <w:rFonts w:ascii="Cambria" w:hAnsi="Cambria"/>
          <w:iCs/>
          <w:sz w:val="28"/>
          <w:szCs w:val="28"/>
          <w:lang w:val="uk-UA" w:eastAsia="uk-UA"/>
        </w:rPr>
        <w:t xml:space="preserve"> оптимальний варіант трансфертного ціноутворення для підприємства в цілому. </w:t>
      </w:r>
    </w:p>
    <w:p w14:paraId="51ADF50E" w14:textId="77777777" w:rsidR="00CA0CC4" w:rsidRPr="0077135F" w:rsidRDefault="00CA0CC4" w:rsidP="00CA0CC4">
      <w:pPr>
        <w:autoSpaceDE w:val="0"/>
        <w:autoSpaceDN w:val="0"/>
        <w:adjustRightInd w:val="0"/>
        <w:ind w:firstLine="709"/>
        <w:jc w:val="both"/>
        <w:rPr>
          <w:rFonts w:ascii="Cambria" w:hAnsi="Cambria"/>
          <w:iCs/>
          <w:sz w:val="28"/>
          <w:szCs w:val="28"/>
          <w:lang w:val="uk-UA" w:eastAsia="uk-UA"/>
        </w:rPr>
      </w:pPr>
      <w:r w:rsidRPr="0077135F">
        <w:rPr>
          <w:rFonts w:ascii="Cambria" w:hAnsi="Cambria"/>
          <w:iCs/>
          <w:sz w:val="28"/>
          <w:szCs w:val="28"/>
          <w:lang w:val="uk-UA" w:eastAsia="uk-UA"/>
        </w:rPr>
        <w:t xml:space="preserve">У практичній діяльності досить часто внутрішні ціни розраховуються на базі </w:t>
      </w:r>
      <w:r w:rsidRPr="0077135F">
        <w:rPr>
          <w:rFonts w:ascii="Cambria" w:hAnsi="Cambria"/>
          <w:b/>
          <w:bCs/>
          <w:iCs/>
          <w:sz w:val="28"/>
          <w:szCs w:val="28"/>
          <w:lang w:val="uk-UA" w:eastAsia="uk-UA"/>
        </w:rPr>
        <w:t>повних витрат</w:t>
      </w:r>
      <w:r w:rsidRPr="0077135F">
        <w:rPr>
          <w:rFonts w:ascii="Cambria" w:hAnsi="Cambria"/>
          <w:iCs/>
          <w:sz w:val="28"/>
          <w:szCs w:val="28"/>
          <w:lang w:val="uk-UA" w:eastAsia="uk-UA"/>
        </w:rPr>
        <w:t xml:space="preserve">. Основна ідея цього підходу полягає в тому, щоб повністю покрити витрати підрозділів, які є постачальниками напівпродуктів на внутрішній ринок. </w:t>
      </w:r>
    </w:p>
    <w:p w14:paraId="199F0802" w14:textId="77777777" w:rsidR="00CA0CC4" w:rsidRPr="0077135F" w:rsidRDefault="00CA0CC4" w:rsidP="00CA0CC4">
      <w:pPr>
        <w:autoSpaceDE w:val="0"/>
        <w:autoSpaceDN w:val="0"/>
        <w:adjustRightInd w:val="0"/>
        <w:ind w:firstLine="709"/>
        <w:jc w:val="both"/>
        <w:rPr>
          <w:rFonts w:ascii="Cambria" w:hAnsi="Cambria"/>
          <w:iCs/>
          <w:sz w:val="28"/>
          <w:szCs w:val="28"/>
          <w:lang w:val="uk-UA" w:eastAsia="uk-UA"/>
        </w:rPr>
      </w:pPr>
      <w:r w:rsidRPr="0077135F">
        <w:rPr>
          <w:rFonts w:ascii="Cambria" w:hAnsi="Cambria"/>
          <w:iCs/>
          <w:sz w:val="28"/>
          <w:szCs w:val="28"/>
          <w:lang w:val="uk-UA" w:eastAsia="uk-UA"/>
        </w:rPr>
        <w:t xml:space="preserve">Одним із варіантів вирішення проблеми інформаційної асиметрії під час ціноутворення на базі витрат є нарахування підрозділу-постачальникові так званої інформаційної ренти, що являє собою свого роду плату за правдиву інформацію про реальний рівень витрат. У цьому разі трансфертна ціна формуватиметься за рахунок витрат (змінних чи повних) та певної </w:t>
      </w:r>
      <w:r w:rsidRPr="0077135F">
        <w:rPr>
          <w:rFonts w:ascii="Cambria" w:hAnsi="Cambria"/>
          <w:b/>
          <w:bCs/>
          <w:iCs/>
          <w:sz w:val="28"/>
          <w:szCs w:val="28"/>
          <w:lang w:val="uk-UA" w:eastAsia="uk-UA"/>
        </w:rPr>
        <w:t xml:space="preserve">надбавки (cost plus). </w:t>
      </w:r>
      <w:r w:rsidRPr="0077135F">
        <w:rPr>
          <w:rFonts w:ascii="Cambria" w:hAnsi="Cambria"/>
          <w:iCs/>
          <w:sz w:val="28"/>
          <w:szCs w:val="28"/>
          <w:lang w:val="uk-UA" w:eastAsia="uk-UA"/>
        </w:rPr>
        <w:t xml:space="preserve">Надбавка встановлюється у формі певного відсотка до витрат або ж на договірній основі. </w:t>
      </w:r>
    </w:p>
    <w:p w14:paraId="0502FA1D" w14:textId="07E95121" w:rsidR="00CA0CC4" w:rsidRPr="0077135F" w:rsidRDefault="00CA0CC4" w:rsidP="00CA0CC4">
      <w:pPr>
        <w:autoSpaceDE w:val="0"/>
        <w:autoSpaceDN w:val="0"/>
        <w:adjustRightInd w:val="0"/>
        <w:ind w:firstLine="709"/>
        <w:jc w:val="both"/>
        <w:rPr>
          <w:rFonts w:ascii="Cambria" w:hAnsi="Cambria"/>
          <w:iCs/>
          <w:sz w:val="28"/>
          <w:szCs w:val="28"/>
          <w:lang w:val="uk-UA" w:eastAsia="uk-UA"/>
        </w:rPr>
      </w:pPr>
      <w:r w:rsidRPr="0077135F">
        <w:rPr>
          <w:rFonts w:ascii="Cambria" w:hAnsi="Cambria"/>
          <w:b/>
          <w:iCs/>
          <w:sz w:val="28"/>
          <w:szCs w:val="28"/>
          <w:lang w:val="uk-UA" w:eastAsia="uk-UA"/>
        </w:rPr>
        <w:t xml:space="preserve">ТЦ на договірній базі. </w:t>
      </w:r>
      <w:r w:rsidRPr="0077135F">
        <w:rPr>
          <w:rFonts w:ascii="Cambria" w:hAnsi="Cambria"/>
          <w:iCs/>
          <w:sz w:val="28"/>
          <w:szCs w:val="28"/>
          <w:lang w:val="uk-UA" w:eastAsia="uk-UA"/>
        </w:rPr>
        <w:t xml:space="preserve">Трасфертне ціноутворення на договірній основі передбачає передання компетенції узгодження прийнятної для всіх сторін внутрішньої ціни до керівників окремих центрів відповідальності. Трансфертні ціни за даного підходу </w:t>
      </w:r>
      <w:r w:rsidR="00477C4C">
        <w:rPr>
          <w:rFonts w:ascii="Cambria" w:hAnsi="Cambria"/>
          <w:iCs/>
          <w:sz w:val="28"/>
          <w:szCs w:val="28"/>
          <w:lang w:val="uk-UA" w:eastAsia="uk-UA"/>
        </w:rPr>
        <w:t>–</w:t>
      </w:r>
      <w:r w:rsidRPr="0077135F">
        <w:rPr>
          <w:rFonts w:ascii="Cambria" w:hAnsi="Cambria"/>
          <w:iCs/>
          <w:sz w:val="28"/>
          <w:szCs w:val="28"/>
          <w:lang w:val="uk-UA" w:eastAsia="uk-UA"/>
        </w:rPr>
        <w:t xml:space="preserve"> результат переговорів між керівниками відповідних сегментів. </w:t>
      </w:r>
      <w:r w:rsidRPr="0077135F">
        <w:rPr>
          <w:rFonts w:ascii="Cambria" w:hAnsi="Cambria"/>
          <w:b/>
          <w:iCs/>
          <w:sz w:val="28"/>
          <w:szCs w:val="28"/>
          <w:lang w:val="uk-UA" w:eastAsia="uk-UA"/>
        </w:rPr>
        <w:t xml:space="preserve">При цьому можна виокремити два підходи: </w:t>
      </w:r>
      <w:r w:rsidRPr="0077135F">
        <w:rPr>
          <w:rFonts w:ascii="Cambria" w:hAnsi="Cambria"/>
          <w:iCs/>
          <w:sz w:val="28"/>
          <w:szCs w:val="28"/>
          <w:lang w:val="uk-UA" w:eastAsia="uk-UA"/>
        </w:rPr>
        <w:t>ціни встановлюються індивідуально для кожної трансакції; ціни встановлюються на основі узгоджених принципів і методів.</w:t>
      </w:r>
    </w:p>
    <w:p w14:paraId="6BD09B37" w14:textId="77777777" w:rsidR="00175AC7" w:rsidRPr="0077135F" w:rsidRDefault="00175AC7">
      <w:pPr>
        <w:rPr>
          <w:rFonts w:ascii="Cambria" w:hAnsi="Cambria"/>
        </w:rPr>
      </w:pPr>
    </w:p>
    <w:sectPr w:rsidR="00175AC7" w:rsidRPr="007713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07C3E"/>
    <w:multiLevelType w:val="hybridMultilevel"/>
    <w:tmpl w:val="4CC45572"/>
    <w:lvl w:ilvl="0" w:tplc="63EE4210">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 w15:restartNumberingAfterBreak="0">
    <w:nsid w:val="0F0573AD"/>
    <w:multiLevelType w:val="hybridMultilevel"/>
    <w:tmpl w:val="4E100B1E"/>
    <w:lvl w:ilvl="0" w:tplc="C41AB2F0">
      <w:numFmt w:val="bullet"/>
      <w:lvlText w:val="-"/>
      <w:lvlJc w:val="left"/>
      <w:pPr>
        <w:ind w:left="420" w:hanging="360"/>
      </w:pPr>
      <w:rPr>
        <w:rFonts w:ascii="Cambria" w:eastAsia="Times New Roman" w:hAnsi="Cambria" w:cs="Times New Roman" w:hint="default"/>
      </w:rPr>
    </w:lvl>
    <w:lvl w:ilvl="1" w:tplc="20000003" w:tentative="1">
      <w:start w:val="1"/>
      <w:numFmt w:val="bullet"/>
      <w:lvlText w:val="o"/>
      <w:lvlJc w:val="left"/>
      <w:pPr>
        <w:ind w:left="1140" w:hanging="360"/>
      </w:pPr>
      <w:rPr>
        <w:rFonts w:ascii="Courier New" w:hAnsi="Courier New" w:cs="Courier New" w:hint="default"/>
      </w:rPr>
    </w:lvl>
    <w:lvl w:ilvl="2" w:tplc="20000005" w:tentative="1">
      <w:start w:val="1"/>
      <w:numFmt w:val="bullet"/>
      <w:lvlText w:val=""/>
      <w:lvlJc w:val="left"/>
      <w:pPr>
        <w:ind w:left="1860" w:hanging="360"/>
      </w:pPr>
      <w:rPr>
        <w:rFonts w:ascii="Wingdings" w:hAnsi="Wingdings" w:hint="default"/>
      </w:rPr>
    </w:lvl>
    <w:lvl w:ilvl="3" w:tplc="20000001" w:tentative="1">
      <w:start w:val="1"/>
      <w:numFmt w:val="bullet"/>
      <w:lvlText w:val=""/>
      <w:lvlJc w:val="left"/>
      <w:pPr>
        <w:ind w:left="2580" w:hanging="360"/>
      </w:pPr>
      <w:rPr>
        <w:rFonts w:ascii="Symbol" w:hAnsi="Symbol" w:hint="default"/>
      </w:rPr>
    </w:lvl>
    <w:lvl w:ilvl="4" w:tplc="20000003" w:tentative="1">
      <w:start w:val="1"/>
      <w:numFmt w:val="bullet"/>
      <w:lvlText w:val="o"/>
      <w:lvlJc w:val="left"/>
      <w:pPr>
        <w:ind w:left="3300" w:hanging="360"/>
      </w:pPr>
      <w:rPr>
        <w:rFonts w:ascii="Courier New" w:hAnsi="Courier New" w:cs="Courier New" w:hint="default"/>
      </w:rPr>
    </w:lvl>
    <w:lvl w:ilvl="5" w:tplc="20000005" w:tentative="1">
      <w:start w:val="1"/>
      <w:numFmt w:val="bullet"/>
      <w:lvlText w:val=""/>
      <w:lvlJc w:val="left"/>
      <w:pPr>
        <w:ind w:left="4020" w:hanging="360"/>
      </w:pPr>
      <w:rPr>
        <w:rFonts w:ascii="Wingdings" w:hAnsi="Wingdings" w:hint="default"/>
      </w:rPr>
    </w:lvl>
    <w:lvl w:ilvl="6" w:tplc="20000001" w:tentative="1">
      <w:start w:val="1"/>
      <w:numFmt w:val="bullet"/>
      <w:lvlText w:val=""/>
      <w:lvlJc w:val="left"/>
      <w:pPr>
        <w:ind w:left="4740" w:hanging="360"/>
      </w:pPr>
      <w:rPr>
        <w:rFonts w:ascii="Symbol" w:hAnsi="Symbol" w:hint="default"/>
      </w:rPr>
    </w:lvl>
    <w:lvl w:ilvl="7" w:tplc="20000003" w:tentative="1">
      <w:start w:val="1"/>
      <w:numFmt w:val="bullet"/>
      <w:lvlText w:val="o"/>
      <w:lvlJc w:val="left"/>
      <w:pPr>
        <w:ind w:left="5460" w:hanging="360"/>
      </w:pPr>
      <w:rPr>
        <w:rFonts w:ascii="Courier New" w:hAnsi="Courier New" w:cs="Courier New" w:hint="default"/>
      </w:rPr>
    </w:lvl>
    <w:lvl w:ilvl="8" w:tplc="20000005" w:tentative="1">
      <w:start w:val="1"/>
      <w:numFmt w:val="bullet"/>
      <w:lvlText w:val=""/>
      <w:lvlJc w:val="left"/>
      <w:pPr>
        <w:ind w:left="6180" w:hanging="360"/>
      </w:pPr>
      <w:rPr>
        <w:rFonts w:ascii="Wingdings" w:hAnsi="Wingdings" w:hint="default"/>
      </w:rPr>
    </w:lvl>
  </w:abstractNum>
  <w:abstractNum w:abstractNumId="2" w15:restartNumberingAfterBreak="0">
    <w:nsid w:val="18BB063A"/>
    <w:multiLevelType w:val="hybridMultilevel"/>
    <w:tmpl w:val="FAE23D64"/>
    <w:lvl w:ilvl="0" w:tplc="6884F888">
      <w:numFmt w:val="bullet"/>
      <w:lvlText w:val="-"/>
      <w:lvlJc w:val="left"/>
      <w:pPr>
        <w:ind w:left="720" w:hanging="360"/>
      </w:pPr>
      <w:rPr>
        <w:rFonts w:ascii="Cambria" w:eastAsia="Times New Roman" w:hAnsi="Cambria"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9026FD6"/>
    <w:multiLevelType w:val="hybridMultilevel"/>
    <w:tmpl w:val="E9FE64C8"/>
    <w:lvl w:ilvl="0" w:tplc="63EE4210">
      <w:start w:val="1"/>
      <w:numFmt w:val="bullet"/>
      <w:lvlText w:val=""/>
      <w:lvlJc w:val="left"/>
      <w:pPr>
        <w:ind w:left="1429" w:hanging="360"/>
      </w:pPr>
      <w:rPr>
        <w:rFonts w:ascii="Symbol" w:hAnsi="Symbol" w:hint="default"/>
      </w:rPr>
    </w:lvl>
    <w:lvl w:ilvl="1" w:tplc="EA64AC74">
      <w:numFmt w:val="bullet"/>
      <w:lvlText w:val="-"/>
      <w:lvlJc w:val="left"/>
      <w:pPr>
        <w:ind w:left="2149" w:hanging="360"/>
      </w:pPr>
      <w:rPr>
        <w:rFonts w:ascii="Cambria" w:eastAsia="Times New Roman" w:hAnsi="Cambria" w:cs="Times New Roman"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4" w15:restartNumberingAfterBreak="0">
    <w:nsid w:val="2AB46C32"/>
    <w:multiLevelType w:val="hybridMultilevel"/>
    <w:tmpl w:val="12E2AD2C"/>
    <w:lvl w:ilvl="0" w:tplc="63EE4210">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5" w15:restartNumberingAfterBreak="0">
    <w:nsid w:val="2B0C331C"/>
    <w:multiLevelType w:val="hybridMultilevel"/>
    <w:tmpl w:val="0C600270"/>
    <w:lvl w:ilvl="0" w:tplc="63EE421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B3D5087"/>
    <w:multiLevelType w:val="hybridMultilevel"/>
    <w:tmpl w:val="2DD014A4"/>
    <w:lvl w:ilvl="0" w:tplc="63EE4210">
      <w:start w:val="1"/>
      <w:numFmt w:val="bullet"/>
      <w:lvlText w:val=""/>
      <w:lvlJc w:val="left"/>
      <w:pPr>
        <w:ind w:left="1429" w:hanging="360"/>
      </w:pPr>
      <w:rPr>
        <w:rFonts w:ascii="Symbol" w:hAnsi="Symbol" w:hint="default"/>
      </w:rPr>
    </w:lvl>
    <w:lvl w:ilvl="1" w:tplc="20000003">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7" w15:restartNumberingAfterBreak="0">
    <w:nsid w:val="4C8966DE"/>
    <w:multiLevelType w:val="hybridMultilevel"/>
    <w:tmpl w:val="2EE21D1E"/>
    <w:lvl w:ilvl="0" w:tplc="63EE4210">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8" w15:restartNumberingAfterBreak="0">
    <w:nsid w:val="5001011C"/>
    <w:multiLevelType w:val="hybridMultilevel"/>
    <w:tmpl w:val="0A40A2F6"/>
    <w:lvl w:ilvl="0" w:tplc="016862F0">
      <w:numFmt w:val="bullet"/>
      <w:lvlText w:val="-"/>
      <w:lvlJc w:val="left"/>
      <w:pPr>
        <w:ind w:left="1189" w:hanging="480"/>
      </w:pPr>
      <w:rPr>
        <w:rFonts w:ascii="Cambria" w:eastAsia="Times New Roman" w:hAnsi="Cambria"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9" w15:restartNumberingAfterBreak="0">
    <w:nsid w:val="52037432"/>
    <w:multiLevelType w:val="hybridMultilevel"/>
    <w:tmpl w:val="08B0BC80"/>
    <w:lvl w:ilvl="0" w:tplc="63EE421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597361D4"/>
    <w:multiLevelType w:val="hybridMultilevel"/>
    <w:tmpl w:val="E1343C24"/>
    <w:lvl w:ilvl="0" w:tplc="0BA8749C">
      <w:numFmt w:val="bullet"/>
      <w:lvlText w:val="-"/>
      <w:lvlJc w:val="left"/>
      <w:pPr>
        <w:ind w:left="1204" w:hanging="495"/>
      </w:pPr>
      <w:rPr>
        <w:rFonts w:ascii="Cambria" w:eastAsia="Times New Roman" w:hAnsi="Cambria"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11" w15:restartNumberingAfterBreak="0">
    <w:nsid w:val="5E220670"/>
    <w:multiLevelType w:val="hybridMultilevel"/>
    <w:tmpl w:val="2C58BB50"/>
    <w:lvl w:ilvl="0" w:tplc="63EE4210">
      <w:start w:val="1"/>
      <w:numFmt w:val="bullet"/>
      <w:lvlText w:val=""/>
      <w:lvlJc w:val="left"/>
      <w:pPr>
        <w:ind w:left="780" w:hanging="360"/>
      </w:pPr>
      <w:rPr>
        <w:rFonts w:ascii="Symbol" w:hAnsi="Symbol"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12" w15:restartNumberingAfterBreak="0">
    <w:nsid w:val="60F56044"/>
    <w:multiLevelType w:val="hybridMultilevel"/>
    <w:tmpl w:val="49B8A952"/>
    <w:lvl w:ilvl="0" w:tplc="EB7231E4">
      <w:numFmt w:val="bullet"/>
      <w:lvlText w:val="-"/>
      <w:lvlJc w:val="left"/>
      <w:pPr>
        <w:ind w:left="1069" w:hanging="360"/>
      </w:pPr>
      <w:rPr>
        <w:rFonts w:ascii="Cambria" w:eastAsia="Times New Roman" w:hAnsi="Cambria"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13" w15:restartNumberingAfterBreak="0">
    <w:nsid w:val="65703A0C"/>
    <w:multiLevelType w:val="hybridMultilevel"/>
    <w:tmpl w:val="1CB6F9DA"/>
    <w:lvl w:ilvl="0" w:tplc="63EE4210">
      <w:start w:val="1"/>
      <w:numFmt w:val="bullet"/>
      <w:lvlText w:val=""/>
      <w:lvlJc w:val="left"/>
      <w:pPr>
        <w:ind w:left="1429" w:hanging="360"/>
      </w:pPr>
      <w:rPr>
        <w:rFonts w:ascii="Symbol" w:hAnsi="Symbol" w:hint="default"/>
      </w:rPr>
    </w:lvl>
    <w:lvl w:ilvl="1" w:tplc="63EE4210">
      <w:start w:val="1"/>
      <w:numFmt w:val="bullet"/>
      <w:lvlText w:val=""/>
      <w:lvlJc w:val="left"/>
      <w:pPr>
        <w:ind w:left="2149" w:hanging="360"/>
      </w:pPr>
      <w:rPr>
        <w:rFonts w:ascii="Symbol" w:hAnsi="Symbol"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num w:numId="1">
    <w:abstractNumId w:val="4"/>
  </w:num>
  <w:num w:numId="2">
    <w:abstractNumId w:val="8"/>
  </w:num>
  <w:num w:numId="3">
    <w:abstractNumId w:val="7"/>
  </w:num>
  <w:num w:numId="4">
    <w:abstractNumId w:val="10"/>
  </w:num>
  <w:num w:numId="5">
    <w:abstractNumId w:val="0"/>
  </w:num>
  <w:num w:numId="6">
    <w:abstractNumId w:val="12"/>
  </w:num>
  <w:num w:numId="7">
    <w:abstractNumId w:val="3"/>
  </w:num>
  <w:num w:numId="8">
    <w:abstractNumId w:val="6"/>
  </w:num>
  <w:num w:numId="9">
    <w:abstractNumId w:val="13"/>
  </w:num>
  <w:num w:numId="10">
    <w:abstractNumId w:val="9"/>
  </w:num>
  <w:num w:numId="11">
    <w:abstractNumId w:val="2"/>
  </w:num>
  <w:num w:numId="12">
    <w:abstractNumId w:val="11"/>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299"/>
    <w:rsid w:val="00035643"/>
    <w:rsid w:val="00175AC7"/>
    <w:rsid w:val="001C0F75"/>
    <w:rsid w:val="00244902"/>
    <w:rsid w:val="002518FA"/>
    <w:rsid w:val="00271AF0"/>
    <w:rsid w:val="00314398"/>
    <w:rsid w:val="00424510"/>
    <w:rsid w:val="00471F82"/>
    <w:rsid w:val="00477C4C"/>
    <w:rsid w:val="00563E97"/>
    <w:rsid w:val="00590AD3"/>
    <w:rsid w:val="00650D40"/>
    <w:rsid w:val="00713CA5"/>
    <w:rsid w:val="0077135F"/>
    <w:rsid w:val="007F3412"/>
    <w:rsid w:val="00810AE7"/>
    <w:rsid w:val="00863319"/>
    <w:rsid w:val="009B705F"/>
    <w:rsid w:val="00AA5DBE"/>
    <w:rsid w:val="00AE3D1D"/>
    <w:rsid w:val="00B31C63"/>
    <w:rsid w:val="00C81100"/>
    <w:rsid w:val="00CA0CC4"/>
    <w:rsid w:val="00DD1D83"/>
    <w:rsid w:val="00DE518B"/>
    <w:rsid w:val="00DE6299"/>
    <w:rsid w:val="00DF2807"/>
    <w:rsid w:val="00EB70C6"/>
    <w:rsid w:val="00F63388"/>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B97D9"/>
  <w15:chartTrackingRefBased/>
  <w15:docId w15:val="{5D9C9AB0-D56D-4261-A2DE-8DB9E74E6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0CC4"/>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CA0CC4"/>
    <w:pPr>
      <w:spacing w:line="360" w:lineRule="auto"/>
      <w:jc w:val="center"/>
      <w:outlineLvl w:val="0"/>
    </w:pPr>
    <w:rPr>
      <w:b/>
      <w:sz w:val="28"/>
      <w:szCs w:val="28"/>
      <w:lang w:val="uk-UA"/>
    </w:rPr>
  </w:style>
  <w:style w:type="character" w:customStyle="1" w:styleId="a4">
    <w:name w:val="Заголовок Знак"/>
    <w:basedOn w:val="a0"/>
    <w:link w:val="a3"/>
    <w:rsid w:val="00CA0CC4"/>
    <w:rPr>
      <w:rFonts w:ascii="Times New Roman" w:eastAsia="Times New Roman" w:hAnsi="Times New Roman" w:cs="Times New Roman"/>
      <w:b/>
      <w:sz w:val="28"/>
      <w:szCs w:val="28"/>
      <w:lang w:val="uk-UA" w:eastAsia="ru-RU"/>
    </w:rPr>
  </w:style>
  <w:style w:type="paragraph" w:styleId="a5">
    <w:name w:val="List Paragraph"/>
    <w:basedOn w:val="a"/>
    <w:uiPriority w:val="34"/>
    <w:qFormat/>
    <w:rsid w:val="008633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9</Pages>
  <Words>3234</Words>
  <Characters>18439</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Метеленко</dc:creator>
  <cp:keywords/>
  <dc:description/>
  <cp:lastModifiedBy>Наталья Метеленко</cp:lastModifiedBy>
  <cp:revision>32</cp:revision>
  <dcterms:created xsi:type="dcterms:W3CDTF">2020-05-19T16:59:00Z</dcterms:created>
  <dcterms:modified xsi:type="dcterms:W3CDTF">2020-05-20T19:42:00Z</dcterms:modified>
</cp:coreProperties>
</file>