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D9" w:rsidRPr="002928D9" w:rsidRDefault="002928D9" w:rsidP="002928D9">
      <w:pPr>
        <w:spacing w:after="0" w:line="240" w:lineRule="auto"/>
        <w:ind w:firstLine="709"/>
        <w:jc w:val="center"/>
        <w:rPr>
          <w:rFonts w:ascii="Times New Roman" w:hAnsi="Times New Roman" w:cs="Times New Roman"/>
          <w:b/>
          <w:sz w:val="28"/>
          <w:szCs w:val="28"/>
        </w:rPr>
      </w:pPr>
      <w:r w:rsidRPr="002928D9">
        <w:rPr>
          <w:rFonts w:ascii="Times New Roman" w:hAnsi="Times New Roman" w:cs="Times New Roman"/>
          <w:b/>
          <w:sz w:val="28"/>
          <w:szCs w:val="28"/>
        </w:rPr>
        <w:t xml:space="preserve">Тема№8 Механізм </w:t>
      </w:r>
      <w:r>
        <w:rPr>
          <w:rFonts w:ascii="Times New Roman" w:hAnsi="Times New Roman" w:cs="Times New Roman"/>
          <w:b/>
          <w:sz w:val="28"/>
          <w:szCs w:val="28"/>
        </w:rPr>
        <w:t>реалізації та захисту прав</w:t>
      </w:r>
      <w:r w:rsidRPr="002928D9">
        <w:rPr>
          <w:rFonts w:ascii="Times New Roman" w:hAnsi="Times New Roman" w:cs="Times New Roman"/>
          <w:b/>
          <w:sz w:val="28"/>
          <w:szCs w:val="28"/>
        </w:rPr>
        <w:t xml:space="preserve"> окремих категорій громадян</w:t>
      </w:r>
    </w:p>
    <w:p w:rsidR="002928D9" w:rsidRPr="002928D9" w:rsidRDefault="002928D9" w:rsidP="002928D9">
      <w:pPr>
        <w:spacing w:after="0" w:line="240" w:lineRule="auto"/>
        <w:ind w:firstLine="709"/>
        <w:jc w:val="both"/>
        <w:rPr>
          <w:rFonts w:ascii="Times New Roman" w:hAnsi="Times New Roman" w:cs="Times New Roman"/>
          <w:sz w:val="28"/>
          <w:szCs w:val="28"/>
        </w:rPr>
      </w:pPr>
    </w:p>
    <w:p w:rsidR="002928D9" w:rsidRPr="002928D9" w:rsidRDefault="002928D9" w:rsidP="002928D9">
      <w:pPr>
        <w:pStyle w:val="a6"/>
        <w:numPr>
          <w:ilvl w:val="0"/>
          <w:numId w:val="5"/>
        </w:numPr>
        <w:spacing w:after="0" w:line="240" w:lineRule="auto"/>
        <w:ind w:left="709" w:hanging="709"/>
        <w:rPr>
          <w:rFonts w:ascii="Times New Roman" w:hAnsi="Times New Roman" w:cs="Times New Roman"/>
          <w:sz w:val="28"/>
          <w:szCs w:val="28"/>
        </w:rPr>
      </w:pPr>
      <w:r w:rsidRPr="002928D9">
        <w:rPr>
          <w:rFonts w:ascii="Times New Roman" w:hAnsi="Times New Roman" w:cs="Times New Roman"/>
          <w:sz w:val="28"/>
          <w:szCs w:val="28"/>
        </w:rPr>
        <w:t xml:space="preserve">Механізм реалізації та захисту прав дитини в Україні. </w:t>
      </w:r>
    </w:p>
    <w:p w:rsidR="002928D9" w:rsidRPr="002928D9" w:rsidRDefault="002928D9" w:rsidP="002928D9">
      <w:pPr>
        <w:pStyle w:val="a6"/>
        <w:numPr>
          <w:ilvl w:val="0"/>
          <w:numId w:val="5"/>
        </w:numPr>
        <w:spacing w:after="0" w:line="240" w:lineRule="auto"/>
        <w:ind w:left="709" w:hanging="709"/>
        <w:rPr>
          <w:rFonts w:ascii="Times New Roman" w:hAnsi="Times New Roman" w:cs="Times New Roman"/>
          <w:sz w:val="28"/>
          <w:szCs w:val="28"/>
        </w:rPr>
      </w:pPr>
      <w:r w:rsidRPr="002928D9">
        <w:rPr>
          <w:rFonts w:ascii="Times New Roman" w:hAnsi="Times New Roman" w:cs="Times New Roman"/>
          <w:sz w:val="28"/>
          <w:szCs w:val="28"/>
        </w:rPr>
        <w:t>Захист прав жінок та механізм забезпечення гендерної рівності</w:t>
      </w:r>
    </w:p>
    <w:p w:rsidR="002928D9" w:rsidRPr="002928D9" w:rsidRDefault="007443D8" w:rsidP="002928D9">
      <w:pPr>
        <w:pStyle w:val="a6"/>
        <w:widowControl w:val="0"/>
        <w:numPr>
          <w:ilvl w:val="0"/>
          <w:numId w:val="5"/>
        </w:numPr>
        <w:autoSpaceDE w:val="0"/>
        <w:autoSpaceDN w:val="0"/>
        <w:adjustRightInd w:val="0"/>
        <w:spacing w:after="0" w:line="240" w:lineRule="auto"/>
        <w:ind w:left="709" w:hanging="709"/>
        <w:rPr>
          <w:rFonts w:ascii="Times New Roman" w:eastAsia="Times New Roman" w:hAnsi="Times New Roman" w:cs="Times New Roman"/>
          <w:sz w:val="28"/>
          <w:szCs w:val="28"/>
        </w:rPr>
      </w:pPr>
      <w:r>
        <w:rPr>
          <w:rFonts w:ascii="Times New Roman" w:hAnsi="Times New Roman" w:cs="Times New Roman"/>
          <w:sz w:val="28"/>
          <w:szCs w:val="28"/>
        </w:rPr>
        <w:t>Особливості реалізації та захисту прав осіб з інвалідністю</w:t>
      </w:r>
      <w:r w:rsidR="002928D9" w:rsidRPr="002928D9">
        <w:rPr>
          <w:rFonts w:ascii="Times New Roman" w:hAnsi="Times New Roman" w:cs="Times New Roman"/>
          <w:sz w:val="28"/>
          <w:szCs w:val="28"/>
        </w:rPr>
        <w:t xml:space="preserve"> </w:t>
      </w:r>
    </w:p>
    <w:p w:rsidR="00D26F96" w:rsidRPr="002928D9" w:rsidRDefault="00D26F96" w:rsidP="00D26F96">
      <w:pPr>
        <w:pStyle w:val="a6"/>
        <w:widowControl w:val="0"/>
        <w:numPr>
          <w:ilvl w:val="0"/>
          <w:numId w:val="5"/>
        </w:numPr>
        <w:autoSpaceDE w:val="0"/>
        <w:autoSpaceDN w:val="0"/>
        <w:adjustRightInd w:val="0"/>
        <w:spacing w:after="0" w:line="240" w:lineRule="auto"/>
        <w:ind w:left="709" w:hanging="709"/>
        <w:rPr>
          <w:rFonts w:ascii="Times New Roman" w:eastAsia="Times New Roman" w:hAnsi="Times New Roman" w:cs="Times New Roman"/>
          <w:sz w:val="28"/>
          <w:szCs w:val="28"/>
        </w:rPr>
      </w:pPr>
      <w:r>
        <w:rPr>
          <w:rFonts w:ascii="Times New Roman" w:hAnsi="Times New Roman" w:cs="Times New Roman"/>
          <w:sz w:val="28"/>
          <w:szCs w:val="28"/>
        </w:rPr>
        <w:t xml:space="preserve">Механізм </w:t>
      </w:r>
      <w:r>
        <w:rPr>
          <w:rFonts w:ascii="Times New Roman" w:hAnsi="Times New Roman" w:cs="Times New Roman"/>
          <w:sz w:val="28"/>
          <w:szCs w:val="28"/>
        </w:rPr>
        <w:t xml:space="preserve">запобігання та </w:t>
      </w:r>
      <w:r>
        <w:rPr>
          <w:rFonts w:ascii="Times New Roman" w:hAnsi="Times New Roman" w:cs="Times New Roman"/>
          <w:sz w:val="28"/>
          <w:szCs w:val="28"/>
        </w:rPr>
        <w:t xml:space="preserve">протидії </w:t>
      </w:r>
      <w:r w:rsidRPr="002928D9">
        <w:rPr>
          <w:rFonts w:ascii="Times New Roman" w:hAnsi="Times New Roman" w:cs="Times New Roman"/>
          <w:sz w:val="28"/>
          <w:szCs w:val="28"/>
        </w:rPr>
        <w:t>торгівлі людьми</w:t>
      </w:r>
    </w:p>
    <w:p w:rsidR="00D26F96" w:rsidRPr="002928D9" w:rsidRDefault="005849D8" w:rsidP="00D26F96">
      <w:pPr>
        <w:pStyle w:val="a6"/>
        <w:widowControl w:val="0"/>
        <w:numPr>
          <w:ilvl w:val="0"/>
          <w:numId w:val="5"/>
        </w:numPr>
        <w:autoSpaceDE w:val="0"/>
        <w:autoSpaceDN w:val="0"/>
        <w:adjustRightInd w:val="0"/>
        <w:spacing w:after="0" w:line="240" w:lineRule="auto"/>
        <w:ind w:left="709" w:hanging="709"/>
        <w:rPr>
          <w:rFonts w:ascii="Times New Roman" w:eastAsia="Times New Roman" w:hAnsi="Times New Roman" w:cs="Times New Roman"/>
          <w:sz w:val="28"/>
          <w:szCs w:val="28"/>
        </w:rPr>
      </w:pPr>
      <w:r>
        <w:rPr>
          <w:rFonts w:ascii="Times New Roman" w:hAnsi="Times New Roman" w:cs="Times New Roman"/>
          <w:sz w:val="28"/>
          <w:szCs w:val="28"/>
        </w:rPr>
        <w:t>Механізм</w:t>
      </w:r>
      <w:r w:rsidR="00D26F96">
        <w:rPr>
          <w:rFonts w:ascii="Times New Roman" w:hAnsi="Times New Roman" w:cs="Times New Roman"/>
          <w:sz w:val="28"/>
          <w:szCs w:val="28"/>
        </w:rPr>
        <w:t xml:space="preserve"> запобігання та протидії </w:t>
      </w:r>
      <w:r w:rsidR="00D26F96" w:rsidRPr="002928D9">
        <w:rPr>
          <w:rFonts w:ascii="Times New Roman" w:hAnsi="Times New Roman" w:cs="Times New Roman"/>
          <w:sz w:val="28"/>
          <w:szCs w:val="28"/>
        </w:rPr>
        <w:t>домаш</w:t>
      </w:r>
      <w:bookmarkStart w:id="0" w:name="_GoBack"/>
      <w:bookmarkEnd w:id="0"/>
      <w:r w:rsidR="00D26F96" w:rsidRPr="002928D9">
        <w:rPr>
          <w:rFonts w:ascii="Times New Roman" w:hAnsi="Times New Roman" w:cs="Times New Roman"/>
          <w:sz w:val="28"/>
          <w:szCs w:val="28"/>
        </w:rPr>
        <w:t>ньо</w:t>
      </w:r>
      <w:r w:rsidR="00D26F96">
        <w:rPr>
          <w:rFonts w:ascii="Times New Roman" w:hAnsi="Times New Roman" w:cs="Times New Roman"/>
          <w:sz w:val="28"/>
          <w:szCs w:val="28"/>
        </w:rPr>
        <w:t>му</w:t>
      </w:r>
      <w:r w:rsidR="00D26F96" w:rsidRPr="002928D9">
        <w:rPr>
          <w:rFonts w:ascii="Times New Roman" w:hAnsi="Times New Roman" w:cs="Times New Roman"/>
          <w:sz w:val="28"/>
          <w:szCs w:val="28"/>
        </w:rPr>
        <w:t xml:space="preserve"> насильств</w:t>
      </w:r>
      <w:r>
        <w:rPr>
          <w:rFonts w:ascii="Times New Roman" w:hAnsi="Times New Roman" w:cs="Times New Roman"/>
          <w:sz w:val="28"/>
          <w:szCs w:val="28"/>
        </w:rPr>
        <w:t>у.</w:t>
      </w:r>
    </w:p>
    <w:p w:rsidR="002928D9" w:rsidRDefault="002928D9" w:rsidP="002928D9">
      <w:pPr>
        <w:spacing w:after="0" w:line="240" w:lineRule="auto"/>
        <w:ind w:firstLine="709"/>
        <w:jc w:val="both"/>
        <w:rPr>
          <w:rFonts w:ascii="Times New Roman" w:hAnsi="Times New Roman" w:cs="Times New Roman"/>
          <w:sz w:val="28"/>
          <w:szCs w:val="28"/>
        </w:rPr>
      </w:pPr>
    </w:p>
    <w:p w:rsidR="002928D9" w:rsidRDefault="002928D9" w:rsidP="002928D9">
      <w:pPr>
        <w:spacing w:after="0" w:line="240" w:lineRule="auto"/>
        <w:jc w:val="both"/>
        <w:rPr>
          <w:rFonts w:ascii="Times New Roman" w:hAnsi="Times New Roman" w:cs="Times New Roman"/>
          <w:sz w:val="28"/>
          <w:szCs w:val="28"/>
        </w:rPr>
      </w:pPr>
    </w:p>
    <w:p w:rsidR="002928D9" w:rsidRDefault="002928D9" w:rsidP="002928D9">
      <w:pPr>
        <w:spacing w:after="0" w:line="240" w:lineRule="auto"/>
        <w:jc w:val="both"/>
        <w:rPr>
          <w:rFonts w:ascii="Times New Roman" w:hAnsi="Times New Roman" w:cs="Times New Roman"/>
          <w:sz w:val="28"/>
          <w:szCs w:val="28"/>
        </w:rPr>
      </w:pPr>
    </w:p>
    <w:p w:rsidR="002928D9" w:rsidRDefault="002928D9" w:rsidP="002928D9">
      <w:pPr>
        <w:spacing w:after="0" w:line="240" w:lineRule="auto"/>
        <w:jc w:val="both"/>
        <w:rPr>
          <w:rFonts w:ascii="Times New Roman" w:hAnsi="Times New Roman" w:cs="Times New Roman"/>
          <w:sz w:val="28"/>
          <w:szCs w:val="28"/>
        </w:rPr>
      </w:pPr>
    </w:p>
    <w:p w:rsidR="002928D9" w:rsidRDefault="002928D9" w:rsidP="002928D9">
      <w:pPr>
        <w:spacing w:after="0" w:line="240" w:lineRule="auto"/>
        <w:jc w:val="center"/>
        <w:rPr>
          <w:rFonts w:ascii="Times New Roman" w:hAnsi="Times New Roman" w:cs="Times New Roman"/>
          <w:b/>
          <w:sz w:val="28"/>
          <w:szCs w:val="28"/>
        </w:rPr>
      </w:pPr>
      <w:r w:rsidRPr="002928D9">
        <w:rPr>
          <w:rFonts w:ascii="Times New Roman" w:hAnsi="Times New Roman" w:cs="Times New Roman"/>
          <w:b/>
          <w:sz w:val="28"/>
          <w:szCs w:val="28"/>
        </w:rPr>
        <w:t>1. Механізм реалізації та захисту прав дитини в Україні</w:t>
      </w:r>
      <w:r w:rsidRPr="002928D9">
        <w:rPr>
          <w:rStyle w:val="a5"/>
          <w:rFonts w:ascii="Times New Roman" w:hAnsi="Times New Roman" w:cs="Times New Roman"/>
          <w:b/>
          <w:sz w:val="28"/>
          <w:szCs w:val="28"/>
        </w:rPr>
        <w:footnoteReference w:id="1"/>
      </w:r>
    </w:p>
    <w:p w:rsidR="002928D9" w:rsidRPr="002928D9" w:rsidRDefault="002928D9" w:rsidP="002928D9">
      <w:pPr>
        <w:spacing w:after="0" w:line="240" w:lineRule="auto"/>
        <w:jc w:val="center"/>
        <w:rPr>
          <w:rFonts w:ascii="Times New Roman" w:hAnsi="Times New Roman" w:cs="Times New Roman"/>
          <w:b/>
          <w:sz w:val="28"/>
          <w:szCs w:val="28"/>
        </w:rPr>
      </w:pPr>
    </w:p>
    <w:p w:rsid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 xml:space="preserve">Зміст права на захист - це можливості уповноваженого суб'єкта в процесі його здійснення, які визначаються комплексом норм цивільного, матеріального і процесуального права, які встановлюють: сам зміст правоохоронних заходів; підстави їх застосування; коло суб'єктів, уповноважених на їх застосування; процесуальний і процедурний порядок їх застосування; матеріально-правові і процесуальні права суб'єктів, щодо яких застосовуються відповідні заходи. </w:t>
      </w:r>
    </w:p>
    <w:p w:rsid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 xml:space="preserve">Аналіз юридичної практики у цій сфері підтверджує, що основні законодавчі акти і документи стосовно дітей поки не стали в державі пріоритетними, оскільки головна увага державної влади сьогодні зосереджена на економіці як базі для розв’язання усіх інших соціальних проблем. У 1991 р. Україна, приєднавшись до Конвенції ООН «Про права дитини», у системі забезпечення добробуту і виживання людства визначила, що пріоритетність інтересів дітей та значимість молодого покоління є першочерговими. </w:t>
      </w:r>
    </w:p>
    <w:p w:rsid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 xml:space="preserve">Виконання умов Конвенції та Всесвітньої декларації про права дитини щодо створення сприятливих умов для розвитку дітей, потребує цілеспрямованих дій Української держави. Часткове зниження рівня життя переважної більшості українського населення призвело до того, що гасло «Усе найкраще – дітям» стало неможливо втілювати у життя. Способи захисту прав дитини в Україні значно збагатилися із прийняттям нормативно-правових актів, безпосередньо спрямованих на поліпшення умов життя дітей та розширення правових гарантій їх захисту. Так статтею 52 Конституції України передбачена рівність дітей у своїх 134 правах, незалежно від походження, а також від того, народжені вони у шлюбі чи поза ним. </w:t>
      </w:r>
    </w:p>
    <w:p w:rsid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 xml:space="preserve">Законом України «Про охорону дитинства» заборонено будь-які фізичні покарання батьками дитини, а також застосування ними інших </w:t>
      </w:r>
      <w:r w:rsidRPr="00C31866">
        <w:rPr>
          <w:rFonts w:ascii="Times New Roman" w:hAnsi="Times New Roman" w:cs="Times New Roman"/>
          <w:sz w:val="28"/>
          <w:szCs w:val="28"/>
        </w:rPr>
        <w:lastRenderedPageBreak/>
        <w:t xml:space="preserve">покарань, що принижують людську гідність дитини. В Законі України «Про охорону праці» за невиконання передбачених законодавством обов’язків батьків щодо виховання дітей визначено попередження або накладення штрафу від 1 до 3 неоподаткованих мінімумів доходів громадян. На сьогодні в Україні найбільш проблемними питаннями у цій сфері є порушення прав дітей у формі недбалого ставлення до організації їхнього життя та злочинні дії у відношенні до малолітніх, а саме: примушування до важкої фізичної праці і торгівля дітьми. </w:t>
      </w:r>
    </w:p>
    <w:p w:rsidR="002936F3"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 xml:space="preserve">Для зменшення порушення прав дітей необхідна централізація зусиль суспільства. У цьому плані законодавство України гарантує цілу низку пільг і допомоги дітям-сиротам та дітям, позбавленим батьківської опіки. Разом з тим, на сучасному етапі розвитку Української держави </w:t>
      </w:r>
      <w:proofErr w:type="spellStart"/>
      <w:r w:rsidRPr="00C31866">
        <w:rPr>
          <w:rFonts w:ascii="Times New Roman" w:hAnsi="Times New Roman" w:cs="Times New Roman"/>
          <w:sz w:val="28"/>
          <w:szCs w:val="28"/>
        </w:rPr>
        <w:t>виникло</w:t>
      </w:r>
      <w:proofErr w:type="spellEnd"/>
      <w:r w:rsidRPr="00C31866">
        <w:rPr>
          <w:rFonts w:ascii="Times New Roman" w:hAnsi="Times New Roman" w:cs="Times New Roman"/>
          <w:sz w:val="28"/>
          <w:szCs w:val="28"/>
        </w:rPr>
        <w:t xml:space="preserve"> нове явище – як соціальне сирітство. Згідно з ч. 3 ст. 55 Конституції кожен має право звертатися за захистом своїх прав до омбудсмена, який є конституційним органом влади спеціальної компетенції, що розглядає спірні випадки між приватними особами та державою. Омбудсмен здійснює захист основних прав шляхом щорічного звітування у парламенті про стан дотримання основних прав і свобод в Україні; здійснення розслідування, тобто відкриття провадження за зверненнями окремих осіб з приводу порушень конституційних прав; звернення до компетентних органів влади з вимогою усунення порушень прав і свобод або надання юридичних консультацій.</w:t>
      </w:r>
    </w:p>
    <w:p w:rsidR="00C31866" w:rsidRP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Останніми роками в Україні на захист прав дітей дедалі більше</w:t>
      </w:r>
      <w:r>
        <w:rPr>
          <w:rFonts w:ascii="Times New Roman" w:hAnsi="Times New Roman" w:cs="Times New Roman"/>
          <w:sz w:val="28"/>
          <w:szCs w:val="28"/>
        </w:rPr>
        <w:t xml:space="preserve"> </w:t>
      </w:r>
      <w:r w:rsidRPr="00C31866">
        <w:rPr>
          <w:rFonts w:ascii="Times New Roman" w:hAnsi="Times New Roman" w:cs="Times New Roman"/>
          <w:sz w:val="28"/>
          <w:szCs w:val="28"/>
        </w:rPr>
        <w:t xml:space="preserve">звертають увагу державні органи. Ці питання стають </w:t>
      </w:r>
      <w:proofErr w:type="spellStart"/>
      <w:r w:rsidRPr="00C31866">
        <w:rPr>
          <w:rFonts w:ascii="Times New Roman" w:hAnsi="Times New Roman" w:cs="Times New Roman"/>
          <w:sz w:val="28"/>
          <w:szCs w:val="28"/>
        </w:rPr>
        <w:t>загальнодержавноюполітикою</w:t>
      </w:r>
      <w:proofErr w:type="spellEnd"/>
      <w:r w:rsidRPr="00C31866">
        <w:rPr>
          <w:rFonts w:ascii="Times New Roman" w:hAnsi="Times New Roman" w:cs="Times New Roman"/>
          <w:sz w:val="28"/>
          <w:szCs w:val="28"/>
        </w:rPr>
        <w:t>. Запроваджена Президентом України посада «Представник</w:t>
      </w:r>
      <w:r>
        <w:rPr>
          <w:rFonts w:ascii="Times New Roman" w:hAnsi="Times New Roman" w:cs="Times New Roman"/>
          <w:sz w:val="28"/>
          <w:szCs w:val="28"/>
        </w:rPr>
        <w:t xml:space="preserve"> </w:t>
      </w:r>
      <w:r w:rsidRPr="00C31866">
        <w:rPr>
          <w:rFonts w:ascii="Times New Roman" w:hAnsi="Times New Roman" w:cs="Times New Roman"/>
          <w:sz w:val="28"/>
          <w:szCs w:val="28"/>
        </w:rPr>
        <w:t>Президента з прав дитини», яка в Україні отримала назву –</w:t>
      </w:r>
      <w:r>
        <w:rPr>
          <w:rFonts w:ascii="Times New Roman" w:hAnsi="Times New Roman" w:cs="Times New Roman"/>
          <w:sz w:val="28"/>
          <w:szCs w:val="28"/>
        </w:rPr>
        <w:t xml:space="preserve"> </w:t>
      </w:r>
      <w:r w:rsidRPr="00C31866">
        <w:rPr>
          <w:rFonts w:ascii="Times New Roman" w:hAnsi="Times New Roman" w:cs="Times New Roman"/>
          <w:sz w:val="28"/>
          <w:szCs w:val="28"/>
        </w:rPr>
        <w:t>Уповноважений Президента України з прав дитини, головною метою</w:t>
      </w:r>
      <w:r>
        <w:rPr>
          <w:rFonts w:ascii="Times New Roman" w:hAnsi="Times New Roman" w:cs="Times New Roman"/>
          <w:sz w:val="28"/>
          <w:szCs w:val="28"/>
        </w:rPr>
        <w:t xml:space="preserve"> </w:t>
      </w:r>
      <w:r w:rsidRPr="00C31866">
        <w:rPr>
          <w:rFonts w:ascii="Times New Roman" w:hAnsi="Times New Roman" w:cs="Times New Roman"/>
          <w:sz w:val="28"/>
          <w:szCs w:val="28"/>
        </w:rPr>
        <w:t>створення якого і стало завдання гарантування дотримання прав дитини.</w:t>
      </w:r>
    </w:p>
    <w:p w:rsidR="00C31866" w:rsidRP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На рівні конституційних органів влади важливу роль щодо</w:t>
      </w:r>
      <w:r>
        <w:rPr>
          <w:rFonts w:ascii="Times New Roman" w:hAnsi="Times New Roman" w:cs="Times New Roman"/>
          <w:sz w:val="28"/>
          <w:szCs w:val="28"/>
        </w:rPr>
        <w:t xml:space="preserve"> </w:t>
      </w:r>
      <w:r w:rsidRPr="00C31866">
        <w:rPr>
          <w:rFonts w:ascii="Times New Roman" w:hAnsi="Times New Roman" w:cs="Times New Roman"/>
          <w:sz w:val="28"/>
          <w:szCs w:val="28"/>
        </w:rPr>
        <w:t>гарантування основних прав і свобод відіграє діяльність Конституційного</w:t>
      </w:r>
      <w:r>
        <w:rPr>
          <w:rFonts w:ascii="Times New Roman" w:hAnsi="Times New Roman" w:cs="Times New Roman"/>
          <w:sz w:val="28"/>
          <w:szCs w:val="28"/>
        </w:rPr>
        <w:t xml:space="preserve"> </w:t>
      </w:r>
      <w:r w:rsidRPr="00C31866">
        <w:rPr>
          <w:rFonts w:ascii="Times New Roman" w:hAnsi="Times New Roman" w:cs="Times New Roman"/>
          <w:sz w:val="28"/>
          <w:szCs w:val="28"/>
        </w:rPr>
        <w:t>Суду України. Орган конституційної юрисдикції здійснює захист</w:t>
      </w:r>
      <w:r>
        <w:rPr>
          <w:rFonts w:ascii="Times New Roman" w:hAnsi="Times New Roman" w:cs="Times New Roman"/>
          <w:sz w:val="28"/>
          <w:szCs w:val="28"/>
        </w:rPr>
        <w:t xml:space="preserve"> </w:t>
      </w:r>
      <w:r w:rsidRPr="00C31866">
        <w:rPr>
          <w:rFonts w:ascii="Times New Roman" w:hAnsi="Times New Roman" w:cs="Times New Roman"/>
          <w:sz w:val="28"/>
          <w:szCs w:val="28"/>
        </w:rPr>
        <w:t>основних прав безпосередньо та опосередковано. Опосередковано КСУ</w:t>
      </w:r>
      <w:r>
        <w:rPr>
          <w:rFonts w:ascii="Times New Roman" w:hAnsi="Times New Roman" w:cs="Times New Roman"/>
          <w:sz w:val="28"/>
          <w:szCs w:val="28"/>
        </w:rPr>
        <w:t xml:space="preserve"> </w:t>
      </w:r>
      <w:r w:rsidRPr="00C31866">
        <w:rPr>
          <w:rFonts w:ascii="Times New Roman" w:hAnsi="Times New Roman" w:cs="Times New Roman"/>
          <w:sz w:val="28"/>
          <w:szCs w:val="28"/>
        </w:rPr>
        <w:t>захищає основні права у формі конституційного контролю за нормативно</w:t>
      </w:r>
      <w:r>
        <w:rPr>
          <w:rFonts w:ascii="Times New Roman" w:hAnsi="Times New Roman" w:cs="Times New Roman"/>
          <w:sz w:val="28"/>
          <w:szCs w:val="28"/>
        </w:rPr>
        <w:t>-</w:t>
      </w:r>
      <w:r w:rsidRPr="00C31866">
        <w:rPr>
          <w:rFonts w:ascii="Times New Roman" w:hAnsi="Times New Roman" w:cs="Times New Roman"/>
          <w:sz w:val="28"/>
          <w:szCs w:val="28"/>
        </w:rPr>
        <w:t>правовими актами глави держави, парламенту та уряду. Безпосередньо</w:t>
      </w:r>
      <w:r>
        <w:rPr>
          <w:rFonts w:ascii="Times New Roman" w:hAnsi="Times New Roman" w:cs="Times New Roman"/>
          <w:sz w:val="28"/>
          <w:szCs w:val="28"/>
        </w:rPr>
        <w:t xml:space="preserve"> </w:t>
      </w:r>
      <w:r w:rsidRPr="00C31866">
        <w:rPr>
          <w:rFonts w:ascii="Times New Roman" w:hAnsi="Times New Roman" w:cs="Times New Roman"/>
          <w:sz w:val="28"/>
          <w:szCs w:val="28"/>
        </w:rPr>
        <w:t xml:space="preserve">Судом захищаються основі права шляхом здійснення </w:t>
      </w:r>
      <w:proofErr w:type="spellStart"/>
      <w:r w:rsidRPr="00C31866">
        <w:rPr>
          <w:rFonts w:ascii="Times New Roman" w:hAnsi="Times New Roman" w:cs="Times New Roman"/>
          <w:sz w:val="28"/>
          <w:szCs w:val="28"/>
        </w:rPr>
        <w:t>інцидентного</w:t>
      </w:r>
      <w:proofErr w:type="spellEnd"/>
      <w:r>
        <w:rPr>
          <w:rFonts w:ascii="Times New Roman" w:hAnsi="Times New Roman" w:cs="Times New Roman"/>
          <w:sz w:val="28"/>
          <w:szCs w:val="28"/>
        </w:rPr>
        <w:t xml:space="preserve"> </w:t>
      </w:r>
      <w:r w:rsidRPr="00C31866">
        <w:rPr>
          <w:rFonts w:ascii="Times New Roman" w:hAnsi="Times New Roman" w:cs="Times New Roman"/>
          <w:sz w:val="28"/>
          <w:szCs w:val="28"/>
        </w:rPr>
        <w:t>контролю. Детально така процедура врегульована главами 12, 13 Закону</w:t>
      </w:r>
      <w:r>
        <w:rPr>
          <w:rFonts w:ascii="Times New Roman" w:hAnsi="Times New Roman" w:cs="Times New Roman"/>
          <w:sz w:val="28"/>
          <w:szCs w:val="28"/>
        </w:rPr>
        <w:t xml:space="preserve"> </w:t>
      </w:r>
      <w:r w:rsidRPr="00C31866">
        <w:rPr>
          <w:rFonts w:ascii="Times New Roman" w:hAnsi="Times New Roman" w:cs="Times New Roman"/>
          <w:sz w:val="28"/>
          <w:szCs w:val="28"/>
        </w:rPr>
        <w:t>«Про Конституційний Суд України». При вирішенні такого роду спорів</w:t>
      </w:r>
      <w:r>
        <w:rPr>
          <w:rFonts w:ascii="Times New Roman" w:hAnsi="Times New Roman" w:cs="Times New Roman"/>
          <w:sz w:val="28"/>
          <w:szCs w:val="28"/>
        </w:rPr>
        <w:t xml:space="preserve"> </w:t>
      </w:r>
      <w:r w:rsidRPr="00C31866">
        <w:rPr>
          <w:rFonts w:ascii="Times New Roman" w:hAnsi="Times New Roman" w:cs="Times New Roman"/>
          <w:sz w:val="28"/>
          <w:szCs w:val="28"/>
        </w:rPr>
        <w:t xml:space="preserve">рішення Конституційного Суду України мають </w:t>
      </w:r>
      <w:proofErr w:type="spellStart"/>
      <w:r w:rsidRPr="00C31866">
        <w:rPr>
          <w:rFonts w:ascii="Times New Roman" w:hAnsi="Times New Roman" w:cs="Times New Roman"/>
          <w:sz w:val="28"/>
          <w:szCs w:val="28"/>
        </w:rPr>
        <w:t>преюдиційне</w:t>
      </w:r>
      <w:proofErr w:type="spellEnd"/>
      <w:r w:rsidRPr="00C31866">
        <w:rPr>
          <w:rFonts w:ascii="Times New Roman" w:hAnsi="Times New Roman" w:cs="Times New Roman"/>
          <w:sz w:val="28"/>
          <w:szCs w:val="28"/>
        </w:rPr>
        <w:t xml:space="preserve"> значення і</w:t>
      </w:r>
      <w:r>
        <w:rPr>
          <w:rFonts w:ascii="Times New Roman" w:hAnsi="Times New Roman" w:cs="Times New Roman"/>
          <w:sz w:val="28"/>
          <w:szCs w:val="28"/>
        </w:rPr>
        <w:t xml:space="preserve"> </w:t>
      </w:r>
      <w:r w:rsidRPr="00C31866">
        <w:rPr>
          <w:rFonts w:ascii="Times New Roman" w:hAnsi="Times New Roman" w:cs="Times New Roman"/>
          <w:sz w:val="28"/>
          <w:szCs w:val="28"/>
        </w:rPr>
        <w:t>можуть лягти в основу для перегляду попередніх рішень адміністративних</w:t>
      </w:r>
      <w:r>
        <w:rPr>
          <w:rFonts w:ascii="Times New Roman" w:hAnsi="Times New Roman" w:cs="Times New Roman"/>
          <w:sz w:val="28"/>
          <w:szCs w:val="28"/>
        </w:rPr>
        <w:t xml:space="preserve"> </w:t>
      </w:r>
      <w:r w:rsidRPr="00C31866">
        <w:rPr>
          <w:rFonts w:ascii="Times New Roman" w:hAnsi="Times New Roman" w:cs="Times New Roman"/>
          <w:sz w:val="28"/>
          <w:szCs w:val="28"/>
        </w:rPr>
        <w:t>органів і судів загальної юрисдикції.</w:t>
      </w:r>
    </w:p>
    <w:p w:rsidR="00C31866" w:rsidRDefault="00C31866" w:rsidP="00C31866">
      <w:pPr>
        <w:spacing w:after="0" w:line="240" w:lineRule="auto"/>
        <w:ind w:firstLine="709"/>
        <w:jc w:val="both"/>
        <w:rPr>
          <w:rFonts w:ascii="Times New Roman" w:hAnsi="Times New Roman" w:cs="Times New Roman"/>
          <w:sz w:val="28"/>
          <w:szCs w:val="28"/>
        </w:rPr>
      </w:pPr>
      <w:r w:rsidRPr="00C31866">
        <w:rPr>
          <w:rFonts w:ascii="Times New Roman" w:hAnsi="Times New Roman" w:cs="Times New Roman"/>
          <w:sz w:val="28"/>
          <w:szCs w:val="28"/>
        </w:rPr>
        <w:t>Суди загальної юрисдикції є гарантом основних прав і свобод, які</w:t>
      </w:r>
      <w:r>
        <w:rPr>
          <w:rFonts w:ascii="Times New Roman" w:hAnsi="Times New Roman" w:cs="Times New Roman"/>
          <w:sz w:val="28"/>
          <w:szCs w:val="28"/>
        </w:rPr>
        <w:t xml:space="preserve"> </w:t>
      </w:r>
      <w:r w:rsidRPr="00C31866">
        <w:rPr>
          <w:rFonts w:ascii="Times New Roman" w:hAnsi="Times New Roman" w:cs="Times New Roman"/>
          <w:sz w:val="28"/>
          <w:szCs w:val="28"/>
        </w:rPr>
        <w:t>розглядають скарги фізичних і юридичних осіб на дії та рішення органів</w:t>
      </w:r>
      <w:r>
        <w:rPr>
          <w:rFonts w:ascii="Times New Roman" w:hAnsi="Times New Roman" w:cs="Times New Roman"/>
          <w:sz w:val="28"/>
          <w:szCs w:val="28"/>
        </w:rPr>
        <w:t xml:space="preserve"> </w:t>
      </w:r>
      <w:r w:rsidRPr="00C31866">
        <w:rPr>
          <w:rFonts w:ascii="Times New Roman" w:hAnsi="Times New Roman" w:cs="Times New Roman"/>
          <w:sz w:val="28"/>
          <w:szCs w:val="28"/>
        </w:rPr>
        <w:t>публічної влади, якими порушуються основні права та свободи. Загальні</w:t>
      </w:r>
      <w:r>
        <w:rPr>
          <w:rFonts w:ascii="Times New Roman" w:hAnsi="Times New Roman" w:cs="Times New Roman"/>
          <w:sz w:val="28"/>
          <w:szCs w:val="28"/>
        </w:rPr>
        <w:t xml:space="preserve"> </w:t>
      </w:r>
      <w:r w:rsidRPr="00C31866">
        <w:rPr>
          <w:rFonts w:ascii="Times New Roman" w:hAnsi="Times New Roman" w:cs="Times New Roman"/>
          <w:sz w:val="28"/>
          <w:szCs w:val="28"/>
        </w:rPr>
        <w:t>суди не вправі відмовити в захисті порушеного права з огляду на</w:t>
      </w:r>
      <w:r>
        <w:rPr>
          <w:rFonts w:ascii="Times New Roman" w:hAnsi="Times New Roman" w:cs="Times New Roman"/>
          <w:sz w:val="28"/>
          <w:szCs w:val="28"/>
        </w:rPr>
        <w:t xml:space="preserve"> </w:t>
      </w:r>
      <w:r w:rsidRPr="00C31866">
        <w:rPr>
          <w:rFonts w:ascii="Times New Roman" w:hAnsi="Times New Roman" w:cs="Times New Roman"/>
          <w:sz w:val="28"/>
          <w:szCs w:val="28"/>
        </w:rPr>
        <w:t>положення ч. 3 ст. 8 та ч. 2 ст. 124 Конституції України. Загальні суди</w:t>
      </w:r>
      <w:r>
        <w:rPr>
          <w:rFonts w:ascii="Times New Roman" w:hAnsi="Times New Roman" w:cs="Times New Roman"/>
          <w:sz w:val="28"/>
          <w:szCs w:val="28"/>
        </w:rPr>
        <w:t xml:space="preserve"> </w:t>
      </w:r>
      <w:r w:rsidRPr="00C31866">
        <w:rPr>
          <w:rFonts w:ascii="Times New Roman" w:hAnsi="Times New Roman" w:cs="Times New Roman"/>
          <w:sz w:val="28"/>
          <w:szCs w:val="28"/>
        </w:rPr>
        <w:t>зобов'язані застосовувати норми Конституції як безпосередньо чинне</w:t>
      </w:r>
      <w:r>
        <w:rPr>
          <w:rFonts w:ascii="Times New Roman" w:hAnsi="Times New Roman" w:cs="Times New Roman"/>
          <w:sz w:val="28"/>
          <w:szCs w:val="28"/>
        </w:rPr>
        <w:t xml:space="preserve"> </w:t>
      </w:r>
      <w:r w:rsidRPr="00C31866">
        <w:rPr>
          <w:rFonts w:ascii="Times New Roman" w:hAnsi="Times New Roman" w:cs="Times New Roman"/>
          <w:sz w:val="28"/>
          <w:szCs w:val="28"/>
        </w:rPr>
        <w:t xml:space="preserve">право, оскільки </w:t>
      </w:r>
      <w:r w:rsidRPr="00C31866">
        <w:rPr>
          <w:rFonts w:ascii="Times New Roman" w:hAnsi="Times New Roman" w:cs="Times New Roman"/>
          <w:sz w:val="28"/>
          <w:szCs w:val="28"/>
        </w:rPr>
        <w:lastRenderedPageBreak/>
        <w:t>їхня юрисдикція поширюється на всі правовідносини, що</w:t>
      </w:r>
      <w:r>
        <w:rPr>
          <w:rFonts w:ascii="Times New Roman" w:hAnsi="Times New Roman" w:cs="Times New Roman"/>
          <w:sz w:val="28"/>
          <w:szCs w:val="28"/>
        </w:rPr>
        <w:t xml:space="preserve"> </w:t>
      </w:r>
      <w:r w:rsidRPr="00C31866">
        <w:rPr>
          <w:rFonts w:ascii="Times New Roman" w:hAnsi="Times New Roman" w:cs="Times New Roman"/>
          <w:sz w:val="28"/>
          <w:szCs w:val="28"/>
        </w:rPr>
        <w:t>виникають у державі.</w:t>
      </w:r>
    </w:p>
    <w:p w:rsidR="00C31866" w:rsidRDefault="00C31866" w:rsidP="00C31866">
      <w:pPr>
        <w:spacing w:after="0" w:line="240" w:lineRule="auto"/>
        <w:ind w:firstLine="709"/>
        <w:jc w:val="both"/>
        <w:rPr>
          <w:rFonts w:ascii="Times New Roman" w:hAnsi="Times New Roman" w:cs="Times New Roman"/>
          <w:sz w:val="28"/>
          <w:szCs w:val="28"/>
        </w:rPr>
      </w:pPr>
    </w:p>
    <w:p w:rsidR="00C31866" w:rsidRDefault="00C31866" w:rsidP="00C31866">
      <w:pPr>
        <w:spacing w:after="0" w:line="240" w:lineRule="auto"/>
        <w:ind w:firstLine="709"/>
        <w:jc w:val="both"/>
        <w:rPr>
          <w:rFonts w:ascii="Times New Roman" w:hAnsi="Times New Roman" w:cs="Times New Roman"/>
          <w:sz w:val="28"/>
          <w:szCs w:val="28"/>
        </w:rPr>
      </w:pPr>
    </w:p>
    <w:p w:rsidR="00C31866" w:rsidRDefault="002936F3" w:rsidP="002936F3">
      <w:pPr>
        <w:spacing w:after="0" w:line="240" w:lineRule="auto"/>
        <w:jc w:val="center"/>
        <w:rPr>
          <w:rFonts w:ascii="Times New Roman" w:hAnsi="Times New Roman" w:cs="Times New Roman"/>
          <w:b/>
          <w:sz w:val="28"/>
          <w:szCs w:val="28"/>
        </w:rPr>
      </w:pPr>
      <w:r w:rsidRPr="002936F3">
        <w:rPr>
          <w:rFonts w:ascii="Times New Roman" w:hAnsi="Times New Roman" w:cs="Times New Roman"/>
          <w:b/>
          <w:sz w:val="28"/>
          <w:szCs w:val="28"/>
        </w:rPr>
        <w:t>2. Захист прав жінок та механізм забезпечення гендерної рівності</w:t>
      </w:r>
      <w:r w:rsidR="002928D9">
        <w:rPr>
          <w:rStyle w:val="a5"/>
          <w:rFonts w:ascii="Times New Roman" w:hAnsi="Times New Roman" w:cs="Times New Roman"/>
          <w:sz w:val="28"/>
          <w:szCs w:val="28"/>
        </w:rPr>
        <w:footnoteReference w:id="2"/>
      </w:r>
    </w:p>
    <w:p w:rsidR="002936F3" w:rsidRDefault="002936F3" w:rsidP="002936F3">
      <w:pPr>
        <w:spacing w:after="0" w:line="240" w:lineRule="auto"/>
        <w:jc w:val="center"/>
        <w:rPr>
          <w:rFonts w:ascii="Times New Roman" w:hAnsi="Times New Roman" w:cs="Times New Roman"/>
          <w:sz w:val="28"/>
          <w:szCs w:val="28"/>
        </w:rPr>
      </w:pPr>
    </w:p>
    <w:p w:rsidR="002928D9" w:rsidRPr="002936F3" w:rsidRDefault="002928D9"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Термінологічно більшість міжнародних документів оперують формулюванням заборони дискримінації за ознакою статі. Однак у 1990-і роки на міжнародному рівні для позначення культурних норм і очікувань, обумовлених біологічною статтю, стала широко використовуватися категорія «ґендер»8 . Сьогодні низка міжнародних договорів забороняє дискримінацію і за ознакою статі, і за ґендерною ознакою; наприклад, Конвенція Ради Європи про попередження і боротьбу з насильством щодо жінок і домашнім насильством, Стамбульська конвенція (ст. 4(3)).</w:t>
      </w:r>
    </w:p>
    <w:p w:rsidR="002928D9" w:rsidRPr="002936F3" w:rsidRDefault="002928D9"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Україна неодноразово підтверджувала, що поділяє ґендерні принципи і напрями діяльності з утвердження рівних прав і можливостей жінок і чоловіків, проголошені в міжнародних документах: Загальній декларації прав людини (1948 р.), Європейській конвенції прав людини та основних свобод (1950 р.), Конвенції з ліквідації усіх форм дискримінації щодо жінок (1979 р.), Декларації щодо рівності жінок і чоловіків (1988 р.), Віденській декларації прав людини (1993 р.), Пекінській декларації й Платформі дій (1995 р.), документах Спеціальної сесії Генеральної Асамблеї ООН з питань ґендерної рівності (2000 р.), Декларації Тисячоліття (2000 р.) та ін.</w:t>
      </w:r>
    </w:p>
    <w:p w:rsidR="002928D9" w:rsidRPr="002936F3" w:rsidRDefault="002928D9"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Незважаючи на визнання Україною обов’язковими для себе базових міжнародних документів у сфері забезпечення ґендерної рівності, закріплення принципу недискримінації за ознакою статі на конституційному рівні, прийняття спеціального закону про забезпечення рівних прав та можливостей жінок і чоловіків, створення відповідних інституційних гарантій у цій сфері, проблема дотримання ґендерної рівності залишається актуальною для України.</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Декларація про рівноправність жінок та чоловіків Комітету міністрів Ради Європи від 16.11.1988 року, зокрема, наголошує на необхідності передбачити спеціальні заходи, які спрямовані на якнайскоріше встановлення реальної рівноправності жінок і чоловіків у різних сферах, та зокрема у доступі до державних посад усіх рівнів, доступі до всіх професій, зайнятості та заробітної плати. Суттєвим аспектом європейського права з питань рівних можливостей є послідовна політика підтримки позитивних дій. Регіональна європейська політика законодавчого забезпечення позитивних дій відповідає духу та принципам Конвенції про ліквідацію всіх форм дискримінації щодо жінок, викладеним у статтях 2 і 4. Спеціальні закони з рівності прав і можливостей чоловіків та жінок прийняті у багатьох країнах, серед яких </w:t>
      </w:r>
      <w:r w:rsidRPr="002936F3">
        <w:rPr>
          <w:rFonts w:ascii="Times New Roman" w:hAnsi="Times New Roman" w:cs="Times New Roman"/>
          <w:sz w:val="28"/>
          <w:szCs w:val="28"/>
        </w:rPr>
        <w:lastRenderedPageBreak/>
        <w:t>Норвегія, Ісландія, Швеція, Данія, Литва, Словенія; у 2005 році до цього переліку приєдналася і Україна.</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Декларація про рівноправність жінок та чоловіків Комітету міністрів Ради Європи від 16 листопада 1988 р., зокрема, наголошує на необхідності передбачити спеціальні заходи, які спрямовані на якнайскоріше встановлення реальної рівноправності жінок і чоловіків у різних сферах, та зокрема у доступі до державних посад усіх рівнів, доступі до всіх професій, зайнятості та заробітної плати. Комітет з економічних, соціальних і культурних прав ООН визнав потребу у спеціальних позитивних заходах, вказавши, що вони можуть бути інколи необхідними для того, щоб привести особу (групу осіб), які перебувають у невигідному становищі, чи маргінальну особу (групу осіб) до того ж фактичного рівня, що й інші. Наприклад, якщо загальні умови певної частини населення не дають змоги чи послаблюють використання ними своїх прав, держава повинна вжити спеціальних заходів для виправлення таких умов. Такі заходи можуть передбачати надання на деякий час частині населення певного преференційного ставлення («</w:t>
      </w:r>
      <w:proofErr w:type="spellStart"/>
      <w:r w:rsidRPr="002936F3">
        <w:rPr>
          <w:rFonts w:ascii="Times New Roman" w:hAnsi="Times New Roman" w:cs="Times New Roman"/>
          <w:sz w:val="28"/>
          <w:szCs w:val="28"/>
        </w:rPr>
        <w:t>рreferential</w:t>
      </w:r>
      <w:proofErr w:type="spellEnd"/>
      <w:r w:rsidRPr="002936F3">
        <w:rPr>
          <w:rFonts w:ascii="Times New Roman" w:hAnsi="Times New Roman" w:cs="Times New Roman"/>
          <w:sz w:val="28"/>
          <w:szCs w:val="28"/>
        </w:rPr>
        <w:t xml:space="preserve"> </w:t>
      </w:r>
      <w:proofErr w:type="spellStart"/>
      <w:r w:rsidRPr="002936F3">
        <w:rPr>
          <w:rFonts w:ascii="Times New Roman" w:hAnsi="Times New Roman" w:cs="Times New Roman"/>
          <w:sz w:val="28"/>
          <w:szCs w:val="28"/>
        </w:rPr>
        <w:t>treatment</w:t>
      </w:r>
      <w:proofErr w:type="spellEnd"/>
      <w:r w:rsidRPr="002936F3">
        <w:rPr>
          <w:rFonts w:ascii="Times New Roman" w:hAnsi="Times New Roman" w:cs="Times New Roman"/>
          <w:sz w:val="28"/>
          <w:szCs w:val="28"/>
        </w:rPr>
        <w:t>») у певних сферах, порівняно з рештою населення. Однак тільки на час, потрібний для виправлення дискримінації на практиці. Отже, Держави-учасниці заохочуються до прийняття тимчасових спеціальних заходів для прискорення досягнення рівності між чоловіками та жінками. Такі заходи не визнаються дискримінаційними, якщо вони базуються на зобов’язанні держави викорінити невигідні умови, спричинені колишніми чи наявними дискримінаційними законами, традиціями та практиками.</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Найбільш поширеними видами спеціальних позитивних заходів, які використовуються в національних та міжнародних юрисдикціях, є навчання та подальше просування; надання преференцій (</w:t>
      </w:r>
      <w:proofErr w:type="spellStart"/>
      <w:r w:rsidRPr="002936F3">
        <w:rPr>
          <w:rFonts w:ascii="Times New Roman" w:hAnsi="Times New Roman" w:cs="Times New Roman"/>
          <w:sz w:val="28"/>
          <w:szCs w:val="28"/>
        </w:rPr>
        <w:t>preferential</w:t>
      </w:r>
      <w:proofErr w:type="spellEnd"/>
      <w:r w:rsidRPr="002936F3">
        <w:rPr>
          <w:rFonts w:ascii="Times New Roman" w:hAnsi="Times New Roman" w:cs="Times New Roman"/>
          <w:sz w:val="28"/>
          <w:szCs w:val="28"/>
        </w:rPr>
        <w:t xml:space="preserve"> </w:t>
      </w:r>
      <w:proofErr w:type="spellStart"/>
      <w:r w:rsidRPr="002936F3">
        <w:rPr>
          <w:rFonts w:ascii="Times New Roman" w:hAnsi="Times New Roman" w:cs="Times New Roman"/>
          <w:sz w:val="28"/>
          <w:szCs w:val="28"/>
        </w:rPr>
        <w:t>treatment</w:t>
      </w:r>
      <w:proofErr w:type="spellEnd"/>
      <w:r w:rsidRPr="002936F3">
        <w:rPr>
          <w:rFonts w:ascii="Times New Roman" w:hAnsi="Times New Roman" w:cs="Times New Roman"/>
          <w:sz w:val="28"/>
          <w:szCs w:val="28"/>
        </w:rPr>
        <w:t xml:space="preserve">); квотування в політичній сфері; спеціальні заходи у сфері праці та соціального забезпечення. Навчання та розширення можливостей як вид позитивної дії. Деякі національні нормативні акти з прав людини визначають навчання та підтримку як один із методів подолання проблеми нерівності.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Навчання створює умови для рівності можливостей, але не вирішує проблеми дискримінації, що виникає на останній стадії відбору кандидатів чи просування по службовій драбині. Члени різних груп, наприклад чоловіки та жінки, можуть мати однакову кваліфікацію та навички, але існуючі упередження чи стереотипи завадять досягненню рівності можливостей у зайнятті певної посади. Наприклад, у Великобританії законом (UK </w:t>
      </w:r>
      <w:proofErr w:type="spellStart"/>
      <w:r w:rsidRPr="002936F3">
        <w:rPr>
          <w:rFonts w:ascii="Times New Roman" w:hAnsi="Times New Roman" w:cs="Times New Roman"/>
          <w:sz w:val="28"/>
          <w:szCs w:val="28"/>
        </w:rPr>
        <w:t>Sex</w:t>
      </w:r>
      <w:proofErr w:type="spellEnd"/>
      <w:r w:rsidRPr="002936F3">
        <w:rPr>
          <w:rFonts w:ascii="Times New Roman" w:hAnsi="Times New Roman" w:cs="Times New Roman"/>
          <w:sz w:val="28"/>
          <w:szCs w:val="28"/>
        </w:rPr>
        <w:t xml:space="preserve"> </w:t>
      </w:r>
      <w:proofErr w:type="spellStart"/>
      <w:r w:rsidRPr="002936F3">
        <w:rPr>
          <w:rFonts w:ascii="Times New Roman" w:hAnsi="Times New Roman" w:cs="Times New Roman"/>
          <w:sz w:val="28"/>
          <w:szCs w:val="28"/>
        </w:rPr>
        <w:t>Discrimination</w:t>
      </w:r>
      <w:proofErr w:type="spellEnd"/>
      <w:r w:rsidRPr="002936F3">
        <w:rPr>
          <w:rFonts w:ascii="Times New Roman" w:hAnsi="Times New Roman" w:cs="Times New Roman"/>
          <w:sz w:val="28"/>
          <w:szCs w:val="28"/>
        </w:rPr>
        <w:t xml:space="preserve"> </w:t>
      </w:r>
      <w:proofErr w:type="spellStart"/>
      <w:r w:rsidRPr="002936F3">
        <w:rPr>
          <w:rFonts w:ascii="Times New Roman" w:hAnsi="Times New Roman" w:cs="Times New Roman"/>
          <w:sz w:val="28"/>
          <w:szCs w:val="28"/>
        </w:rPr>
        <w:t>Act</w:t>
      </w:r>
      <w:proofErr w:type="spellEnd"/>
      <w:r w:rsidRPr="002936F3">
        <w:rPr>
          <w:rFonts w:ascii="Times New Roman" w:hAnsi="Times New Roman" w:cs="Times New Roman"/>
          <w:sz w:val="28"/>
          <w:szCs w:val="28"/>
        </w:rPr>
        <w:t xml:space="preserve">, 1975) передбачено, що за певних обставин, зокрема надто низького представництва однієї з груп, працедавці можуть забезпечувати навчання для працівників цієї групи, щоб заохотити їх до виконання нової роботи чи подання своїх кандидатур на інші посади. Однак працедавцям не дозволено дискримінувати на користь представників однієї статі під час прийняття на посаду, крім випадків, коли це визначається особливостями роботи.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Надання преференцій. Практика надання преференцій членам груп, які перебувають у невигідному становищі чи потерпають від дискримінації, є </w:t>
      </w:r>
      <w:r w:rsidRPr="002936F3">
        <w:rPr>
          <w:rFonts w:ascii="Times New Roman" w:hAnsi="Times New Roman" w:cs="Times New Roman"/>
          <w:sz w:val="28"/>
          <w:szCs w:val="28"/>
        </w:rPr>
        <w:lastRenderedPageBreak/>
        <w:t xml:space="preserve">формою позитивних заходів, яка інколи заборонена міжнародними нормами. Автоматичне надання переваги чи спеціальна увага, що ґрунтується на певних особистих характеристиках, через яку особи або групи відібрані для роботи, навчання чи підвищення кваліфікації, є забороненою в деяких країнах через дискримінаційний ефект на інших осіб. Це можливо навіть у випадках, коли особисті характеристики, наприклад стать, використовується тільки як так званий «плюс-фактор» для вибору одного з двох однаково кваліфікованих кандидатів.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Альтернативна форма преференційного ставлення містить врахування належності особи до групи осіб, які перебувають у невигідному становищі чи потерпають від дискримінації, разом з іншими факторами, які впливають на рішення про прийняття на роботу. Європейський Суд Справедливості розглядав питання автоматичного надання переваги у справах ґендерної дискримінації на робочому місці. Законодавство Європейського Союзу дозволяє таку пріоритетність, але тільки у випадках, коли кандидати мають однакові якості та кваліфікацію. У таких випадках за однакової кваліфікації двох претендентів на робоче місце перевага може віддаватися представникові групи осіб, які перебувають у невигідному становищі чи потерпають від дискримінації.</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На конституційному рівні встановлено, що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w:t>
      </w:r>
      <w:proofErr w:type="spellStart"/>
      <w:r w:rsidRPr="002936F3">
        <w:rPr>
          <w:rFonts w:ascii="Times New Roman" w:hAnsi="Times New Roman" w:cs="Times New Roman"/>
          <w:sz w:val="28"/>
          <w:szCs w:val="28"/>
        </w:rPr>
        <w:t>мовними</w:t>
      </w:r>
      <w:proofErr w:type="spellEnd"/>
      <w:r w:rsidRPr="002936F3">
        <w:rPr>
          <w:rFonts w:ascii="Times New Roman" w:hAnsi="Times New Roman" w:cs="Times New Roman"/>
          <w:sz w:val="28"/>
          <w:szCs w:val="28"/>
        </w:rPr>
        <w:t xml:space="preserve"> або іншими ознаками» (ч. 1 ст. 24). Окрема норма спрямована на забезпечення рівності прав жінки і чоловіка (ч. 2 ст. 24).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Україна має спеціальне </w:t>
      </w:r>
      <w:proofErr w:type="spellStart"/>
      <w:r w:rsidRPr="002936F3">
        <w:rPr>
          <w:rFonts w:ascii="Times New Roman" w:hAnsi="Times New Roman" w:cs="Times New Roman"/>
          <w:sz w:val="28"/>
          <w:szCs w:val="28"/>
        </w:rPr>
        <w:t>антидискримінаційне</w:t>
      </w:r>
      <w:proofErr w:type="spellEnd"/>
      <w:r w:rsidRPr="002936F3">
        <w:rPr>
          <w:rFonts w:ascii="Times New Roman" w:hAnsi="Times New Roman" w:cs="Times New Roman"/>
          <w:sz w:val="28"/>
          <w:szCs w:val="28"/>
        </w:rPr>
        <w:t xml:space="preserve"> законодавство: Закон України «Про забезпечення рівних прав і можливостей жінок і чоловіків» Закон України «Про засади запобігання та протидії дискримінації в Україні» Закон України «Про запобігання та протидію домашньому насильству» Закон України «Про протидію торгівлі людьми».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Також мають враховуватися програмні і стратегічні документи, спрямовані на захист прав людини в цілому і прав жінок, зокрема: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Національна стратегія у сфері прав людини, затверджена Указом Президента України від 25 серпня 2015 року № 501/2015;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Національний план дій з виконання резолюції Ради Безпеки ООН 1325 «Жінки, мир, безпека» на період до 2020 року, затверджений розпорядженням Кабінету Міністрів України від 24 лютого 2016 р. № 113-р;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Державна соціальна програма протидії торгівлі людьми на період до 2020 року, затверджена постановою Кабінету Міністрів України від 24 лютого 2016 р. № 111;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Державна соціальна програма забезпечення рівних прав та можливостей жінок і чоловіків на період до 2021 року, затверджена постановою Кабінету Міністрів України від 11 квітня 2018 р. № 273;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lastRenderedPageBreak/>
        <w:t xml:space="preserve">Національний план дій з виконання рекомендацій, викладених у заключних зауваженнях Комітету ООН з ліквідації дискримінації щодо жінок до восьмої періодичної доповіді України про виконання Конвенції про ліквідацію всіх форм дискримінації щодо жінок на період до 2021 року, затверджений розпорядженням Кабінету Міністрів України від 05.09.2018 р. № 634-р.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У цілому, законодавство України характеризується як недискримінаційне. Проблема здебільшого полягає у практиці правозастосування: ігнорування відповідних положень, наявність лише формальних посилань на них, </w:t>
      </w:r>
      <w:proofErr w:type="spellStart"/>
      <w:r w:rsidRPr="002936F3">
        <w:rPr>
          <w:rFonts w:ascii="Times New Roman" w:hAnsi="Times New Roman" w:cs="Times New Roman"/>
          <w:sz w:val="28"/>
          <w:szCs w:val="28"/>
        </w:rPr>
        <w:t>ґендерно</w:t>
      </w:r>
      <w:proofErr w:type="spellEnd"/>
      <w:r w:rsidRPr="002936F3">
        <w:rPr>
          <w:rFonts w:ascii="Times New Roman" w:hAnsi="Times New Roman" w:cs="Times New Roman"/>
          <w:sz w:val="28"/>
          <w:szCs w:val="28"/>
        </w:rPr>
        <w:t xml:space="preserve"> нейтральний підхід до розгляду справ, пов’язаних із захистом прав жінок, призводять до того, що право на рівний доступ до правосуддя порушується.</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Закон про забезпечення рівних прав набрав чинності 01.01.2006 р. Закон надає визначення низці важливих понять. Це, серед іншого, такі поняття як дискримінація за ознакою статі, позитивні дії, сексуальні домагання тощо.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В цілому, закон справедливо оцінюється експертами як декларативний, такий, що не передбачає ефективних інструментів і механізмів боротьби із ґендерною дискримінацією.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Серед тих положень Закону, які все ж таки мають прикладне значення, слід відзначити такі: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обов’язковість проведення </w:t>
      </w:r>
      <w:proofErr w:type="spellStart"/>
      <w:r w:rsidRPr="002936F3">
        <w:rPr>
          <w:rFonts w:ascii="Times New Roman" w:hAnsi="Times New Roman" w:cs="Times New Roman"/>
          <w:sz w:val="28"/>
          <w:szCs w:val="28"/>
        </w:rPr>
        <w:t>ґендерно</w:t>
      </w:r>
      <w:proofErr w:type="spellEnd"/>
      <w:r w:rsidRPr="002936F3">
        <w:rPr>
          <w:rFonts w:ascii="Times New Roman" w:hAnsi="Times New Roman" w:cs="Times New Roman"/>
          <w:sz w:val="28"/>
          <w:szCs w:val="28"/>
        </w:rPr>
        <w:t xml:space="preserve">-правової експертизи законодавства (ст. 4);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обов’язковість відображення органами державної статистики показників становища жінок і чоловіків у всіх сферах життя суспільства; такі статистичні дані мають бути невід’ємною складовою державної статистичної звітності (ст. 5).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За низкою показників така статистична інформація дійсно збирається (наприклад, чисельність населення, рівень економічної активності, рівень зайнятості і безробіття, середня заробітна плата за видами економічної діяльності тощо) і може використовуватись під час судових розглядів для аргументації відповідної позиції. </w:t>
      </w:r>
    </w:p>
    <w:p w:rsidR="00C31866"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Однак наявні статистичні дані дуже обмежені. Наприклад, зовсім немає статистики щодо того, скільки позовів подають жінки і скільки чоловіки тощо; політичні партії, виборчі блоки під час висунення кандидатів у народні депутати України в багатомандатному загальнодержавному виборчому окрузі передбачають представництво жінок і чоловіків у відповідних виборчих списках. Контроль за цією вимогою здійснюють виборчі комісії (ст. 15). </w:t>
      </w:r>
    </w:p>
    <w:p w:rsidR="002928D9" w:rsidRPr="002936F3" w:rsidRDefault="00C31866"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Оскільки Закон не встановив конкретний показник такого представництва, наведена норма залишилась лише декларацією. За результатами парламентських виборів 2014 р. частка жінок в парламенті становить 11%</w:t>
      </w:r>
      <w:r w:rsidR="002928D9" w:rsidRPr="002936F3">
        <w:rPr>
          <w:rFonts w:ascii="Times New Roman" w:hAnsi="Times New Roman" w:cs="Times New Roman"/>
          <w:sz w:val="28"/>
          <w:szCs w:val="28"/>
        </w:rPr>
        <w:t>, а 2019 р. цей показник сягнув 20%</w:t>
      </w:r>
      <w:r w:rsidRPr="002936F3">
        <w:rPr>
          <w:rFonts w:ascii="Times New Roman" w:hAnsi="Times New Roman" w:cs="Times New Roman"/>
          <w:sz w:val="28"/>
          <w:szCs w:val="28"/>
        </w:rPr>
        <w:t>.</w:t>
      </w:r>
    </w:p>
    <w:p w:rsidR="00C31866" w:rsidRPr="002936F3" w:rsidRDefault="002928D9"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Також в законі наголошується на </w:t>
      </w:r>
      <w:r w:rsidR="00C31866" w:rsidRPr="002936F3">
        <w:rPr>
          <w:rFonts w:ascii="Times New Roman" w:hAnsi="Times New Roman" w:cs="Times New Roman"/>
          <w:sz w:val="28"/>
          <w:szCs w:val="28"/>
        </w:rPr>
        <w:t>заборон</w:t>
      </w:r>
      <w:r w:rsidRPr="002936F3">
        <w:rPr>
          <w:rFonts w:ascii="Times New Roman" w:hAnsi="Times New Roman" w:cs="Times New Roman"/>
          <w:sz w:val="28"/>
          <w:szCs w:val="28"/>
        </w:rPr>
        <w:t>і</w:t>
      </w:r>
      <w:r w:rsidR="00C31866" w:rsidRPr="002936F3">
        <w:rPr>
          <w:rFonts w:ascii="Times New Roman" w:hAnsi="Times New Roman" w:cs="Times New Roman"/>
          <w:sz w:val="28"/>
          <w:szCs w:val="28"/>
        </w:rPr>
        <w:t xml:space="preserve"> роботодавцям в оголошеннях (рекламі) про вакансії пропонувати роботу лише жінкам або </w:t>
      </w:r>
      <w:r w:rsidR="00C31866" w:rsidRPr="002936F3">
        <w:rPr>
          <w:rFonts w:ascii="Times New Roman" w:hAnsi="Times New Roman" w:cs="Times New Roman"/>
          <w:sz w:val="28"/>
          <w:szCs w:val="28"/>
        </w:rPr>
        <w:lastRenderedPageBreak/>
        <w:t>лише чоловікам, за винятком специфічної роботи, яка може виконуватися виключно особами певної статі, висувати різні вимоги, даючи перевагу одній із статей,</w:t>
      </w:r>
      <w:r w:rsidRPr="002936F3">
        <w:rPr>
          <w:rFonts w:ascii="Times New Roman" w:hAnsi="Times New Roman" w:cs="Times New Roman"/>
          <w:sz w:val="28"/>
          <w:szCs w:val="28"/>
        </w:rPr>
        <w:t xml:space="preserve"> вимагати від осіб, які влаштовуються на роботу, відомості про їхнє особисте життя, плани щодо народження дітей (ст. 17). Це по суті єдина конкретна норма, яка також підкріплена аналогічною забороною в Законі про зайнятість і в Законі про рекламу, завдяки чому органи державної влади здобули повноваження контролювати її виконання роботодавцями. Крім того, самі кандидати на посаду у низці випадків успішно оскаржували дії роботодавців, які безпідставно включали до оголошень вимогу щодо статі працівника.</w:t>
      </w:r>
    </w:p>
    <w:p w:rsidR="002928D9" w:rsidRPr="002936F3" w:rsidRDefault="002928D9"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Закон про забезпечення рівних прав також передбачає можливість оскарження дискримінації за ознакою статі та сексуальних домагань (ст. 22) і право на відшкодування матеріальних збитків та моральної шкоди, завданих унаслідок дискримінації за ознакою статі чи сексуальних домагань (ст. 23), однак не пропонує жодних спеціальних механізмів, інструментів, особливого порядку, просто відсилаючи до загального порядку оскарження, передбаченого процесуальним законодавством, і загального порядку відшкодування шкоди, встановленого ЦК України, не розкриваючи ніякої специфіки й не конкретизуючи їх. Цим пояснюється низький рівень застосування положень Закону на практиці</w:t>
      </w:r>
    </w:p>
    <w:p w:rsidR="002928D9" w:rsidRDefault="002928D9" w:rsidP="00C31866">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Аналогічні зауваження (щодо в цілому занадто абстрактного і декларативного характеру, відсутності ефективних механізмів і інструментів дії) справедливо лунають і на адресу Закону про протидію дискримінації. У ньому наводяться визначення таких понять як дискримінація, непряма дискримінація, пряма дискримінація, підбурювання до дискримінації, позитивні дії, пособництво у дискримінації, утиск. Як і Закон про забезпечення рівних прав, Закон про протидію дискримінації гарантує право на оскарження рішень, дій чи бездіяльності з питань дискримінації (ст. 14), відшкодування матеріальної шкоди та моральної шкоди, завданих унаслідок дискримінації (ст. 15), а також передбачає, що особи, винні в порушенні вимог законодавства про запобігання та протидію дискримінації, несуть цивільну, адміністративну та кримінальну відповідальність (ст. 16), але при цьому закріплено лише посилання на загальні норми, без обумовлення тієї чи іншої специфіки, пов’язаної із дискримінацією.</w:t>
      </w:r>
    </w:p>
    <w:p w:rsidR="002936F3" w:rsidRDefault="002936F3" w:rsidP="002936F3">
      <w:pPr>
        <w:spacing w:after="0" w:line="240" w:lineRule="auto"/>
        <w:jc w:val="both"/>
        <w:rPr>
          <w:rFonts w:ascii="Times New Roman" w:hAnsi="Times New Roman" w:cs="Times New Roman"/>
          <w:sz w:val="28"/>
          <w:szCs w:val="28"/>
        </w:rPr>
      </w:pPr>
    </w:p>
    <w:p w:rsidR="002936F3" w:rsidRDefault="002936F3" w:rsidP="002936F3">
      <w:pPr>
        <w:spacing w:after="0" w:line="240" w:lineRule="auto"/>
        <w:jc w:val="both"/>
        <w:rPr>
          <w:rFonts w:ascii="Times New Roman" w:hAnsi="Times New Roman" w:cs="Times New Roman"/>
          <w:sz w:val="28"/>
          <w:szCs w:val="28"/>
        </w:rPr>
      </w:pPr>
    </w:p>
    <w:p w:rsidR="007443D8" w:rsidRDefault="007443D8" w:rsidP="007443D8">
      <w:pPr>
        <w:widowControl w:val="0"/>
        <w:autoSpaceDE w:val="0"/>
        <w:autoSpaceDN w:val="0"/>
        <w:adjustRightInd w:val="0"/>
        <w:spacing w:after="0" w:line="240" w:lineRule="auto"/>
        <w:jc w:val="center"/>
        <w:rPr>
          <w:rFonts w:ascii="Times New Roman" w:hAnsi="Times New Roman" w:cs="Times New Roman"/>
          <w:sz w:val="28"/>
          <w:szCs w:val="28"/>
        </w:rPr>
      </w:pPr>
    </w:p>
    <w:p w:rsidR="007443D8" w:rsidRDefault="007443D8" w:rsidP="007443D8">
      <w:pPr>
        <w:widowControl w:val="0"/>
        <w:autoSpaceDE w:val="0"/>
        <w:autoSpaceDN w:val="0"/>
        <w:adjustRightInd w:val="0"/>
        <w:spacing w:after="0" w:line="240" w:lineRule="auto"/>
        <w:jc w:val="center"/>
        <w:rPr>
          <w:rFonts w:ascii="Times New Roman" w:hAnsi="Times New Roman" w:cs="Times New Roman"/>
          <w:sz w:val="28"/>
          <w:szCs w:val="28"/>
        </w:rPr>
      </w:pPr>
    </w:p>
    <w:p w:rsidR="007443D8" w:rsidRDefault="007443D8" w:rsidP="007443D8">
      <w:pPr>
        <w:widowControl w:val="0"/>
        <w:autoSpaceDE w:val="0"/>
        <w:autoSpaceDN w:val="0"/>
        <w:adjustRightInd w:val="0"/>
        <w:spacing w:after="0" w:line="240" w:lineRule="auto"/>
        <w:jc w:val="center"/>
        <w:rPr>
          <w:rFonts w:ascii="Times New Roman" w:hAnsi="Times New Roman" w:cs="Times New Roman"/>
          <w:sz w:val="28"/>
          <w:szCs w:val="28"/>
        </w:rPr>
      </w:pPr>
    </w:p>
    <w:p w:rsidR="007443D8" w:rsidRDefault="007443D8" w:rsidP="007443D8">
      <w:pPr>
        <w:widowControl w:val="0"/>
        <w:autoSpaceDE w:val="0"/>
        <w:autoSpaceDN w:val="0"/>
        <w:adjustRightInd w:val="0"/>
        <w:spacing w:after="0" w:line="240" w:lineRule="auto"/>
        <w:jc w:val="center"/>
        <w:rPr>
          <w:rFonts w:ascii="Times New Roman" w:hAnsi="Times New Roman" w:cs="Times New Roman"/>
          <w:sz w:val="28"/>
          <w:szCs w:val="28"/>
        </w:rPr>
      </w:pPr>
    </w:p>
    <w:p w:rsidR="007443D8" w:rsidRDefault="007443D8" w:rsidP="007443D8">
      <w:pPr>
        <w:widowControl w:val="0"/>
        <w:autoSpaceDE w:val="0"/>
        <w:autoSpaceDN w:val="0"/>
        <w:adjustRightInd w:val="0"/>
        <w:spacing w:after="0" w:line="240" w:lineRule="auto"/>
        <w:jc w:val="center"/>
        <w:rPr>
          <w:rFonts w:ascii="Times New Roman" w:hAnsi="Times New Roman" w:cs="Times New Roman"/>
          <w:sz w:val="28"/>
          <w:szCs w:val="28"/>
        </w:rPr>
      </w:pPr>
    </w:p>
    <w:p w:rsidR="002936F3" w:rsidRPr="007443D8" w:rsidRDefault="007443D8" w:rsidP="007443D8">
      <w:pPr>
        <w:widowControl w:val="0"/>
        <w:autoSpaceDE w:val="0"/>
        <w:autoSpaceDN w:val="0"/>
        <w:adjustRightInd w:val="0"/>
        <w:spacing w:after="0" w:line="240" w:lineRule="auto"/>
        <w:jc w:val="center"/>
        <w:rPr>
          <w:rFonts w:ascii="Times New Roman" w:hAnsi="Times New Roman" w:cs="Times New Roman"/>
          <w:b/>
          <w:sz w:val="28"/>
          <w:szCs w:val="28"/>
        </w:rPr>
      </w:pPr>
      <w:r w:rsidRPr="007443D8">
        <w:rPr>
          <w:rFonts w:ascii="Times New Roman" w:hAnsi="Times New Roman" w:cs="Times New Roman"/>
          <w:b/>
          <w:sz w:val="28"/>
          <w:szCs w:val="28"/>
        </w:rPr>
        <w:t xml:space="preserve">3. </w:t>
      </w:r>
      <w:r w:rsidRPr="007443D8">
        <w:rPr>
          <w:rFonts w:ascii="Times New Roman" w:hAnsi="Times New Roman" w:cs="Times New Roman"/>
          <w:b/>
          <w:sz w:val="28"/>
          <w:szCs w:val="28"/>
        </w:rPr>
        <w:t>Особливості реалізації та захисту прав осіб з інвалідністю</w:t>
      </w:r>
      <w:r w:rsidR="002936F3" w:rsidRPr="007443D8">
        <w:rPr>
          <w:rStyle w:val="a5"/>
          <w:rFonts w:ascii="Times New Roman" w:hAnsi="Times New Roman" w:cs="Times New Roman"/>
          <w:b/>
          <w:sz w:val="28"/>
          <w:szCs w:val="28"/>
        </w:rPr>
        <w:footnoteReference w:id="3"/>
      </w:r>
    </w:p>
    <w:p w:rsidR="007443D8" w:rsidRDefault="007443D8" w:rsidP="007443D8">
      <w:pPr>
        <w:widowControl w:val="0"/>
        <w:autoSpaceDE w:val="0"/>
        <w:autoSpaceDN w:val="0"/>
        <w:adjustRightInd w:val="0"/>
        <w:spacing w:after="0" w:line="240" w:lineRule="auto"/>
        <w:jc w:val="center"/>
        <w:rPr>
          <w:rFonts w:ascii="Times New Roman" w:hAnsi="Times New Roman" w:cs="Times New Roman"/>
          <w:sz w:val="28"/>
          <w:szCs w:val="28"/>
        </w:rPr>
      </w:pP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24 вересня 2008 року Україною було підписано Конвенцію про права осіб з інвалідністю і Факультативний протокол до неї. А вже через рік 16 грудня 2009 року Верховною Радою України ці два акти було ратифіковано, 6 березня 2010 року Конвенція набрала чинності. З цього часу імплементація Конвенції є одним із пріоритетних завдань Уряду.</w:t>
      </w: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Відповідно до взятих Україною зобов’язань на сьогодні однією із стратегічних цілей державної політики у сфері захисту прав осіб з інвалідністю є створення суспільного середовища рівних можливостей для таких осіб та їх інтеграція у суспільне життя, переосмислення поточних соціальних послуг для створення системи підтримки, що забезпечить суспільну активність та незалежність людей з інвалідністю.</w:t>
      </w: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На виконання вимог Конвенції постановою Кабінету Міністрів України від 01.08.2012 № 706 була затверджена Державна цільова програма „Національний план дій щодо реалізації Конвенції про права осіб з інвалідністю” на період до 2020 року”.</w:t>
      </w: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Програма спрямована на заохочення, захист і забезпечення повного й рівного здійснення особами з інвалідністю всіх прав людини та основоположних свобод в усіх сферах суспільного життя з урахуванням положень Конвенції, а також вжиття заходів щодо поважного ставлення до притаманної їм гідності.</w:t>
      </w: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Також, з метою забезпечення додержання та реалізації прав і свобод осіб з інвалідністю відповідно до вимог Конвенції про права осіб з інвалідністю було підписано Указ Президента України №553/2016 „Про заходи, спрямовані на забезпечення додержання прав осіб з інвалідністю”.</w:t>
      </w: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У 2015 році Україна представила на розгляд Комітету ООН з прав осіб з інвалідністю Першу періодичну Доповідь про реалізацію положень Конвенції про права осіб з інвалідністю. Громадські об'єднання осіб з інвалідністю подали на розгляд Комітету Альтернативний звіт громадських організацій щодо виконання Конвенції ООН про права людей з інвалідністю. З метою подальшої імплементації Конвенції в Україні Комітет надав заключні зауваження стосовно первинної доповіді України про стан реалізації Конвенції ООН про права осіб з інвалідністю. </w:t>
      </w: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На виконання рекомендацій, викладених у заключних зауваженнях Комітету, Верховною Радою України було прийнято поданий Урядом Закон України „Про внесення змін до Закону України „Про ратифікацію Конвенції і Факультативного протоколу до неї” від 07.09. 2016 № 1490, яким </w:t>
      </w:r>
      <w:proofErr w:type="spellStart"/>
      <w:r w:rsidRPr="002936F3">
        <w:rPr>
          <w:rFonts w:ascii="Times New Roman" w:hAnsi="Times New Roman" w:cs="Times New Roman"/>
          <w:sz w:val="28"/>
          <w:szCs w:val="28"/>
        </w:rPr>
        <w:t>внесено</w:t>
      </w:r>
      <w:proofErr w:type="spellEnd"/>
      <w:r w:rsidRPr="002936F3">
        <w:rPr>
          <w:rFonts w:ascii="Times New Roman" w:hAnsi="Times New Roman" w:cs="Times New Roman"/>
          <w:sz w:val="28"/>
          <w:szCs w:val="28"/>
        </w:rPr>
        <w:t xml:space="preserve"> зміни до Закону України „Про ратифікацію Конвенції про права інвалідів та Факультативного протоколу до неї”, зокрема, слова „інвалід” і „інваліди” замінено словами „особа з інвалідністю” та „особи з інвалідністю”.</w:t>
      </w:r>
    </w:p>
    <w:p w:rsidR="002936F3" w:rsidRPr="002936F3" w:rsidRDefault="002936F3" w:rsidP="002936F3">
      <w:pPr>
        <w:spacing w:after="0" w:line="240" w:lineRule="auto"/>
        <w:ind w:firstLine="709"/>
        <w:jc w:val="both"/>
        <w:rPr>
          <w:rFonts w:ascii="Times New Roman" w:hAnsi="Times New Roman" w:cs="Times New Roman"/>
          <w:sz w:val="28"/>
          <w:szCs w:val="28"/>
        </w:rPr>
      </w:pPr>
    </w:p>
    <w:p w:rsidR="002936F3" w:rsidRP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 xml:space="preserve">Верховною Радою України було прийнято Закон України „Про внесення змін до деяких законодавчих актів України” від 19.12.2017 № 2249, згідно з якими у відповідності до офіційного перекладу Конвенції про права осіб з інвалідністю та Факультативного протоколу до неї, було </w:t>
      </w:r>
      <w:proofErr w:type="spellStart"/>
      <w:r w:rsidRPr="002936F3">
        <w:rPr>
          <w:rFonts w:ascii="Times New Roman" w:hAnsi="Times New Roman" w:cs="Times New Roman"/>
          <w:sz w:val="28"/>
          <w:szCs w:val="28"/>
        </w:rPr>
        <w:t>внесено</w:t>
      </w:r>
      <w:proofErr w:type="spellEnd"/>
      <w:r w:rsidRPr="002936F3">
        <w:rPr>
          <w:rFonts w:ascii="Times New Roman" w:hAnsi="Times New Roman" w:cs="Times New Roman"/>
          <w:sz w:val="28"/>
          <w:szCs w:val="28"/>
        </w:rPr>
        <w:t xml:space="preserve"> зміни </w:t>
      </w:r>
      <w:r w:rsidRPr="002936F3">
        <w:rPr>
          <w:rFonts w:ascii="Times New Roman" w:hAnsi="Times New Roman" w:cs="Times New Roman"/>
          <w:sz w:val="28"/>
          <w:szCs w:val="28"/>
        </w:rPr>
        <w:lastRenderedPageBreak/>
        <w:t>до 44 законодавчих актів, що стосувалися заміни слова „інвалід”, „дитина-інвалід”, „інвалід з дитинства” та „інвалід війни” словами „особа з інвалідністю”, „дитина з інвалідністю”, „особа з інвалідністю з дитинства” та „особа з інвалідністю внаслідок війни”.</w:t>
      </w:r>
    </w:p>
    <w:p w:rsidR="002936F3" w:rsidRDefault="002936F3" w:rsidP="002936F3">
      <w:pPr>
        <w:spacing w:after="0" w:line="240" w:lineRule="auto"/>
        <w:ind w:firstLine="709"/>
        <w:jc w:val="both"/>
        <w:rPr>
          <w:rFonts w:ascii="Times New Roman" w:hAnsi="Times New Roman" w:cs="Times New Roman"/>
          <w:sz w:val="28"/>
          <w:szCs w:val="28"/>
        </w:rPr>
      </w:pPr>
      <w:r w:rsidRPr="002936F3">
        <w:rPr>
          <w:rFonts w:ascii="Times New Roman" w:hAnsi="Times New Roman" w:cs="Times New Roman"/>
          <w:sz w:val="28"/>
          <w:szCs w:val="28"/>
        </w:rPr>
        <w:t>Крім того, на виконання рекомендацій Комітету розпорядженням Кабінету Міністрів України від 28.12.2016 № 1073-р затверджено План заходів з виконання рекомендацій, викладених у заключних зауваженнях, наданих Комітетом ООН з прав осіб з інвалідністю до першої періодичної доповіді України про виконання Конвенції про права осіб з інвалідністю, на період до 2020 року.</w:t>
      </w:r>
    </w:p>
    <w:p w:rsidR="007443D8" w:rsidRPr="007443D8" w:rsidRDefault="007443D8" w:rsidP="007443D8">
      <w:pPr>
        <w:spacing w:after="0" w:line="240" w:lineRule="auto"/>
        <w:ind w:firstLine="709"/>
        <w:jc w:val="both"/>
        <w:rPr>
          <w:rFonts w:ascii="Times New Roman" w:hAnsi="Times New Roman" w:cs="Times New Roman"/>
          <w:sz w:val="28"/>
          <w:szCs w:val="28"/>
        </w:rPr>
      </w:pPr>
      <w:r w:rsidRPr="007443D8">
        <w:rPr>
          <w:rFonts w:ascii="Times New Roman" w:hAnsi="Times New Roman" w:cs="Times New Roman"/>
          <w:sz w:val="28"/>
          <w:szCs w:val="28"/>
        </w:rPr>
        <w:t>На початок 2016 року в Україні налічувалося 2614061  людей з інвалідністю (у тому числі: 250229 осіб з інвалідністю І групи, 918966 тис. – ІІ групи, 1291249 – ІІІ групи та 153547 дітей з інвалідністю), що дорівнювало 6,11 % у загальній структурі населення (42760,5 тис. осіб)[11].</w:t>
      </w:r>
    </w:p>
    <w:p w:rsidR="007443D8" w:rsidRDefault="007443D8" w:rsidP="007443D8">
      <w:pPr>
        <w:spacing w:after="0" w:line="240" w:lineRule="auto"/>
        <w:ind w:firstLine="709"/>
        <w:jc w:val="both"/>
        <w:rPr>
          <w:rFonts w:ascii="Times New Roman" w:hAnsi="Times New Roman" w:cs="Times New Roman"/>
          <w:sz w:val="28"/>
          <w:szCs w:val="28"/>
        </w:rPr>
      </w:pPr>
      <w:r w:rsidRPr="007443D8">
        <w:rPr>
          <w:rFonts w:ascii="Times New Roman" w:hAnsi="Times New Roman" w:cs="Times New Roman"/>
          <w:sz w:val="28"/>
          <w:szCs w:val="28"/>
        </w:rPr>
        <w:t xml:space="preserve">Статистика людей з інвалідністю, змушених залишити свої домівки, навчання та роботу, фактично самотужки долаючи перешкоди серед чужих людей, також є вражаючою В Україні станом на 7 липня 2016 року налічується 72356 внутрішньо переміщених осіб з числа людей з інвалідністю (4,07 % у загальній структурі ВПО). Найбільша кількість ВПО з інвалідністю у Донецькій (28590 осіб),Харківській (9077 осіб), Луганській (7496 осіб), Запорізькій (6658 осіб) областях, місті Києві (4537 осіб) та Дніпропетровській (3229 осіб) області. На жаль, статистика щодо чисельності ВПО з інвалідністю у розрізі груп та підгруп інвалідності жодним органом влади не ведеться. Окрім того, окремо не </w:t>
      </w:r>
      <w:proofErr w:type="spellStart"/>
      <w:r w:rsidRPr="007443D8">
        <w:rPr>
          <w:rFonts w:ascii="Times New Roman" w:hAnsi="Times New Roman" w:cs="Times New Roman"/>
          <w:sz w:val="28"/>
          <w:szCs w:val="28"/>
        </w:rPr>
        <w:t>облікуються</w:t>
      </w:r>
      <w:proofErr w:type="spellEnd"/>
      <w:r w:rsidRPr="007443D8">
        <w:rPr>
          <w:rFonts w:ascii="Times New Roman" w:hAnsi="Times New Roman" w:cs="Times New Roman"/>
          <w:sz w:val="28"/>
          <w:szCs w:val="28"/>
        </w:rPr>
        <w:t xml:space="preserve"> діти з інвалідністю</w:t>
      </w:r>
      <w:r w:rsidR="001331B0">
        <w:rPr>
          <w:rFonts w:ascii="Times New Roman" w:hAnsi="Times New Roman" w:cs="Times New Roman"/>
          <w:sz w:val="28"/>
          <w:szCs w:val="28"/>
        </w:rPr>
        <w:t>.</w:t>
      </w:r>
    </w:p>
    <w:p w:rsidR="001331B0" w:rsidRDefault="001331B0" w:rsidP="001331B0">
      <w:pPr>
        <w:spacing w:after="0" w:line="240" w:lineRule="auto"/>
        <w:jc w:val="both"/>
        <w:rPr>
          <w:rFonts w:ascii="Times New Roman" w:hAnsi="Times New Roman" w:cs="Times New Roman"/>
          <w:sz w:val="28"/>
          <w:szCs w:val="28"/>
        </w:rPr>
      </w:pPr>
    </w:p>
    <w:p w:rsidR="001331B0" w:rsidRDefault="001331B0" w:rsidP="001331B0">
      <w:pPr>
        <w:spacing w:after="0" w:line="240" w:lineRule="auto"/>
        <w:jc w:val="both"/>
        <w:rPr>
          <w:rFonts w:ascii="Times New Roman" w:hAnsi="Times New Roman" w:cs="Times New Roman"/>
          <w:sz w:val="28"/>
          <w:szCs w:val="28"/>
        </w:rPr>
      </w:pPr>
    </w:p>
    <w:p w:rsidR="00D26F96" w:rsidRPr="00D26F96" w:rsidRDefault="00D26F96" w:rsidP="00D26F9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26F96">
        <w:rPr>
          <w:rFonts w:ascii="Times New Roman" w:hAnsi="Times New Roman" w:cs="Times New Roman"/>
          <w:b/>
          <w:sz w:val="28"/>
          <w:szCs w:val="28"/>
        </w:rPr>
        <w:t xml:space="preserve">4. </w:t>
      </w:r>
      <w:r w:rsidRPr="00D26F96">
        <w:rPr>
          <w:rFonts w:ascii="Times New Roman" w:hAnsi="Times New Roman" w:cs="Times New Roman"/>
          <w:b/>
          <w:sz w:val="28"/>
          <w:szCs w:val="28"/>
        </w:rPr>
        <w:t xml:space="preserve">Механізм </w:t>
      </w:r>
      <w:r>
        <w:rPr>
          <w:rFonts w:ascii="Times New Roman" w:hAnsi="Times New Roman" w:cs="Times New Roman"/>
          <w:b/>
          <w:sz w:val="28"/>
          <w:szCs w:val="28"/>
        </w:rPr>
        <w:t xml:space="preserve">запобігання та </w:t>
      </w:r>
      <w:r w:rsidRPr="00D26F96">
        <w:rPr>
          <w:rFonts w:ascii="Times New Roman" w:hAnsi="Times New Roman" w:cs="Times New Roman"/>
          <w:b/>
          <w:sz w:val="28"/>
          <w:szCs w:val="28"/>
        </w:rPr>
        <w:t>протидії торгівлі людьми</w:t>
      </w:r>
      <w:r>
        <w:rPr>
          <w:rStyle w:val="a5"/>
          <w:rFonts w:ascii="Times New Roman" w:hAnsi="Times New Roman" w:cs="Times New Roman"/>
          <w:b/>
          <w:sz w:val="28"/>
          <w:szCs w:val="28"/>
        </w:rPr>
        <w:footnoteReference w:id="4"/>
      </w:r>
    </w:p>
    <w:p w:rsidR="001331B0" w:rsidRDefault="001331B0" w:rsidP="001331B0">
      <w:pPr>
        <w:spacing w:after="0" w:line="240" w:lineRule="auto"/>
        <w:ind w:firstLine="709"/>
        <w:jc w:val="both"/>
        <w:rPr>
          <w:rFonts w:ascii="Times New Roman" w:hAnsi="Times New Roman" w:cs="Times New Roman"/>
          <w:sz w:val="28"/>
          <w:szCs w:val="28"/>
        </w:rPr>
      </w:pPr>
    </w:p>
    <w:p w:rsidR="001331B0" w:rsidRDefault="001331B0" w:rsidP="001331B0">
      <w:pPr>
        <w:spacing w:after="0" w:line="240" w:lineRule="auto"/>
        <w:ind w:firstLine="709"/>
        <w:jc w:val="both"/>
        <w:rPr>
          <w:rFonts w:ascii="Times New Roman" w:hAnsi="Times New Roman" w:cs="Times New Roman"/>
          <w:sz w:val="28"/>
          <w:szCs w:val="28"/>
        </w:rPr>
      </w:pPr>
    </w:p>
    <w:p w:rsidR="001331B0" w:rsidRDefault="001331B0" w:rsidP="001331B0">
      <w:pPr>
        <w:spacing w:after="0" w:line="240" w:lineRule="auto"/>
        <w:ind w:firstLine="709"/>
        <w:jc w:val="both"/>
        <w:rPr>
          <w:rFonts w:ascii="Times New Roman" w:hAnsi="Times New Roman" w:cs="Times New Roman"/>
          <w:sz w:val="28"/>
          <w:szCs w:val="28"/>
        </w:rPr>
      </w:pP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Торгівля людьми є глобальним злочинним бізнесом, сучасною формою рабства, що грубо порушує права людини. Ця діяльність є найшвидше зростаючою кримінальною діяльністю у світі. За оцінками Міжнародного центру із запобігання злочинності ООН, щорічний грошовий обсяг за даний транснаціональний злочин становить 30 мільярдів доларів на рік, що робить його другим за величиною після торгівлі наркотиками.  </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Україна була серед перших країн у Європі, яка у 1998 році встановила кримінальну відповідальність за торгівлю людьми. У Кримінальному кодексі України покарання за торгівлю людьми передбачено статтею 149, яка визначає ці злочинні дії як вербування, переміщення, переховування, передачу або одержання людини, вчинені з метою експлуатації, з використанням обману, шантажу чи уразливого стану особи.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lastRenderedPageBreak/>
        <w:t>Існує чимало різноманітних видів експлуатації: усиновлення (удочеріння) у комерційних цілях, використання в порнобізнесі, використання у військових конфліктах, залучення до злочинної діяльності, трансплантація чи насильницьке донорство, примус до заняття проституцією, рабство і ситуації, подібні до рабства, примусова праця, залучення в боргову кабалу.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За оціночними даними Представництва МОМ в Україні за час незалежності 230 тис. українців постраждали торгівлі людьми. Українці потрапляють в тенета цього злочину не лише в Україні, але й у Росії, Польщі, інших країнах Європи, Туреччині, США, країнах Центральної Азії та Близького Сходу.  </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Держава вживає заходів з попередження торгівлі людьми та боротьби з нею, притягнення до відповідальності злочинців та надання допомоги постраждалим.</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Міністерство соціальної політики визначено національним координатором у сфері протидії торгівлі людьми, та, відповідно до своїх повноважень, здійснює координацію діяльності органів виконавчої влади, проводить інформаційно – просвітницькій акції, забезпечує встановлення статусу особи, яка постраждала від торгівлі людьми та надання допомоги таким особам.</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Метою торгівлі людьми є експлуатація.</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Сексуальна експлуатація – це один з видів експлуатації праці людини, зокрема в галузі проституції , використання в порнобізнесі.</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У 1902 році в Парижі було проведено Дипломатичну Конференцію, на якій були ініційована низка міжнародних угод про співробітництво у цій галузі, а саме:</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1)      Міжнародний договір від 18 травня 1904 року про боротьбу із торгівлею білими рабинями зі змінами, внесеними в нього Протоколом, затвердженим Генеральною Асамблеєю ООН 3 грудня 1948 року;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2)      Міжнародна Конвенція від 4 травня 1910 року про боротьбу із торгівлею білими рабинями зі змінами, внесеними в неї вищезгаданим Протоколом;</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3)      Міжнародна Конвенція від 30 вересня 1921 року про боротьбу із торгівлею жінками та дітьми зі змінами, внесеними в неї Протоколом, прийнятим Генеральною Асамблеєю ООН 20 жовтня 1947 року;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4)      Міжнародна Конвенція від 11 жовтня 1933 р. про боротьбу із торгівлею повнолітніми жінками зі змінами, внесеними в неї вищенаведеним Протоколом.</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Правонаступницею згаданих міжнародних документів та проекту Ліги Націй, підготовленого у 1937 році, є Конвенція про боротьбу із торгівлею людьми та експлуатацією проституції третіми особами від 21 березня 1949 року. Цей документ залишається чинним і до теперішнього часу.</w:t>
      </w:r>
    </w:p>
    <w:p w:rsidR="001331B0" w:rsidRPr="001331B0" w:rsidRDefault="001331B0" w:rsidP="001331B0">
      <w:pPr>
        <w:spacing w:after="0" w:line="240" w:lineRule="auto"/>
        <w:ind w:firstLine="709"/>
        <w:jc w:val="both"/>
        <w:rPr>
          <w:rFonts w:ascii="Times New Roman" w:hAnsi="Times New Roman" w:cs="Times New Roman"/>
          <w:sz w:val="28"/>
          <w:szCs w:val="28"/>
        </w:rPr>
      </w:pP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Крім репресивних заходів, Конвенцією передбачаються заходи, спрямовані на захист жертв торгівлі людьми. Стаття 19 зобов'язує учасників </w:t>
      </w:r>
      <w:r w:rsidRPr="001331B0">
        <w:rPr>
          <w:rFonts w:ascii="Times New Roman" w:hAnsi="Times New Roman" w:cs="Times New Roman"/>
          <w:sz w:val="28"/>
          <w:szCs w:val="28"/>
        </w:rPr>
        <w:lastRenderedPageBreak/>
        <w:t>Конвенції надавати допомогу та підтримку таким особам та закріплює механізм повернення до своєї країни проданих за кордон осіб.</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Наступним міжнародним документом цього напряму була Конвенція про ліквідацію всіх форм дискримінації щодо жінок 1979 р. Цей документ, насамперед, спрямований на захист прав жінок у політичній, економічній, соціальній та приватній сферах. Відповідно до ст. 6 цієї Конвенції країни-учасниці зобов’язались приймати всі необхідні заходи для протидії торгівлі жінками та експлуатації проституції жінок. Положення цієї Конвенції було розкрито у Декларації про викорінення насильства щодо жінок. Визнання цим документом того факту, що акт торгівлі жінками може вчинюватись з іншою, крім сексуальної експлуатації, метою, було кроком до ширшого розуміння торгівлі людьми.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Відомою у боротьбі з торгівлею людьми серед останніх міжнародних документів стала Гаазька Міністерська Декларація європейських рекомендацій щодо ефективних заходів з попередження та боротьби із торгівлею жінками з метою сексуальної експлуатації 1997 року.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Що ж до України то в останні роки збільшується кількість випадків експлуатації з метою трудової експлуатації. У випадку експлуатації праці кінцевою метою торгівлі людьми є саме примусова праця.</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Зокрема, до трудової експлуатації на практиці відносять примусову </w:t>
      </w:r>
      <w:proofErr w:type="spellStart"/>
      <w:r w:rsidRPr="001331B0">
        <w:rPr>
          <w:rFonts w:ascii="Times New Roman" w:hAnsi="Times New Roman" w:cs="Times New Roman"/>
          <w:sz w:val="28"/>
          <w:szCs w:val="28"/>
        </w:rPr>
        <w:t>консумацію</w:t>
      </w:r>
      <w:proofErr w:type="spellEnd"/>
      <w:r w:rsidRPr="001331B0">
        <w:rPr>
          <w:rFonts w:ascii="Times New Roman" w:hAnsi="Times New Roman" w:cs="Times New Roman"/>
          <w:sz w:val="28"/>
          <w:szCs w:val="28"/>
        </w:rPr>
        <w:t xml:space="preserve"> та примусове залучення особи до жебрацтва, особливо дітей. Найпоширенішими злочинами щодо неповнолітніх українців є експлуатація в дитячій </w:t>
      </w:r>
      <w:proofErr w:type="spellStart"/>
      <w:r w:rsidRPr="001331B0">
        <w:rPr>
          <w:rFonts w:ascii="Times New Roman" w:hAnsi="Times New Roman" w:cs="Times New Roman"/>
          <w:sz w:val="28"/>
          <w:szCs w:val="28"/>
        </w:rPr>
        <w:t>порностудії</w:t>
      </w:r>
      <w:proofErr w:type="spellEnd"/>
      <w:r w:rsidRPr="001331B0">
        <w:rPr>
          <w:rFonts w:ascii="Times New Roman" w:hAnsi="Times New Roman" w:cs="Times New Roman"/>
          <w:sz w:val="28"/>
          <w:szCs w:val="28"/>
        </w:rPr>
        <w:t>, схиляння до проституції, дитяча праця у сфері послуг та жебрацтво. Діти в силу свого віку є найменш захищеною та вразливою категорією громадян. За статистикою, в Україні 30% дівчат і 10% хлопців до 14 років ставали жертвами насилля. Торгівля дітьми відноситься до категорії особливо тяжких злочинів, який є одним з найбільш латентних та складних для розслідування злочинів проти волі, честі та гідності особи.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Інший напрям боротьби з торгівлею людьми спрямовує зусилля на протидію такому явищу як втягнення у злочинну діяльність. Втягнення у злочинну діяльність – це дії, пов’язані з безпосереднім психічним чи фізичним впливом на особу та вчиненні з метою викликати у неї прагнення взяти участь в одному з кількох злочинів. При цьому можуть</w:t>
      </w:r>
      <w:r w:rsidR="00D26F96">
        <w:rPr>
          <w:rFonts w:ascii="Times New Roman" w:hAnsi="Times New Roman" w:cs="Times New Roman"/>
          <w:sz w:val="28"/>
          <w:szCs w:val="28"/>
        </w:rPr>
        <w:t xml:space="preserve"> </w:t>
      </w:r>
      <w:r w:rsidRPr="001331B0">
        <w:rPr>
          <w:rFonts w:ascii="Times New Roman" w:hAnsi="Times New Roman" w:cs="Times New Roman"/>
          <w:sz w:val="28"/>
          <w:szCs w:val="28"/>
        </w:rPr>
        <w:t>використовуватись різноманітні способи впливу.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Усиновлення чи удочеріння в комерційних цілях – це оформлення спеціальним юридичним документом встановлення батьківської опіки над дітьми, позбавленими батьківського піклування, з метою подальшого їх використання для отримання доходів (у жебракуванні, занятті азартними іграми чи для подальшого укладення щодо них угод пов’язаних з фактичною передачею права власності).</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Використання у збройних конфліктах - використання особи для виконання нею бойових завдань, пов’язаних з поваленням державної влади або порушенням суверенітету і територіальної цілісності інших держав тощо. Збройні конфлікти стають каталізаторами збільшення фактів торгівлі людьми, що обумовлюється багатьма факторами. Серед них – складна </w:t>
      </w:r>
      <w:r w:rsidRPr="001331B0">
        <w:rPr>
          <w:rFonts w:ascii="Times New Roman" w:hAnsi="Times New Roman" w:cs="Times New Roman"/>
          <w:sz w:val="28"/>
          <w:szCs w:val="28"/>
        </w:rPr>
        <w:lastRenderedPageBreak/>
        <w:t xml:space="preserve">криміногенна обстановка в зоні конфлікту, послаблення державних інститутів, </w:t>
      </w:r>
      <w:proofErr w:type="spellStart"/>
      <w:r w:rsidRPr="001331B0">
        <w:rPr>
          <w:rFonts w:ascii="Times New Roman" w:hAnsi="Times New Roman" w:cs="Times New Roman"/>
          <w:sz w:val="28"/>
          <w:szCs w:val="28"/>
        </w:rPr>
        <w:t>дисфункція</w:t>
      </w:r>
      <w:proofErr w:type="spellEnd"/>
      <w:r w:rsidRPr="001331B0">
        <w:rPr>
          <w:rFonts w:ascii="Times New Roman" w:hAnsi="Times New Roman" w:cs="Times New Roman"/>
          <w:sz w:val="28"/>
          <w:szCs w:val="28"/>
        </w:rPr>
        <w:t xml:space="preserve"> правоохоронних органів у зоні збройних конфліктів, складність правового статусу непідконтрольних територій, зміна гендерного балансу на окремих територіях та інші.</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В умовах збройних конфліктів найбільш розповсюдженими формами торгівлі людьми з метою подальшою експлуатації стають:</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вербування, переміщення, передача, переховування або одержання осіб чоловічої статі з метою поповнення лав особового складу збройних сил  сторін, що беруть участь у конфлікті;</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використання примусової праці і рабства для задоволення потреб озброєних груп;</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сексуальна експлуатація (військова проституція, насильницька вагітність);</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втягнення у злочинну діяльність;</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вилучення органів.</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Крім того, під час збройного конфлікту факти торгівлі людьми найчастіше супроводжуються вчиненням інших тяжких протиправних дій, як-то сексуальне насильство, катування тощо, або погроза застосування таких дій.</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Слід зазначити, що Україна докладає багато зусиль у сфері протидії торгівлі людьми, особливо в частині поширення Національного механізму взаємодії суб’єктів, які здійснюють заходи у сфері протидії торгівлі людьми.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Статистичні дані на 2018 рік наступні: </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Кількість осіб, яким встановлено статус особи, яка постраждала від торгівлі людьми становить 141 особа (станом на 12/08/2018 згідно статистики Міністерства соціальної політики України).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 xml:space="preserve">Кількість осіб, які потерпіли від злочинів, передбачених ст. 149 КК України становить 179 осіб (станом на 31/08/2018 згідно статистики Генеральної прокуратури України).  </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Попри статистику оцінити реальні масштаби торгівлі людьми в Україні важко, ураховуючи доволі високий рівень латентності цих злочинів.</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З прийняттям Закону України „Про протидію торгівлі людьми”, Міністерство соціальної політики, як національний координатор, проводить інформаційно-просвітницькі акції з протидії торгівлі людьми з метою інформування громадян України про цю проблему.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З нагоди Європейського дня боротьби з торгівлею людьми 18 жовтня, Міністерство соціальної політики України анонсує старт загальнонаціональної інформаційної кампанії, метою якої є привернення уваги до проблеми торгівлі людьми, роз’яснення громадянам виді і форм цього злочину, а також шляхів надання підтримки і допомоги потерпілим.</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Інформаційна кампанія пройде на території всієї країни та передбачає трансляції на державних і приватних ТВ та радіо каналах країни, розміщення інформаційних матеріалів на зовнішніх носіях, в пресі, в соціальних мережах, інтерв’ю з експертами, інформаційні та інші заходи.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lastRenderedPageBreak/>
        <w:t>18 жовтня у всіх областях України та 20 жовтня в м. Києві пройде всесвітня щорічна акція „</w:t>
      </w:r>
      <w:proofErr w:type="spellStart"/>
      <w:r w:rsidRPr="001331B0">
        <w:rPr>
          <w:rFonts w:ascii="Times New Roman" w:hAnsi="Times New Roman" w:cs="Times New Roman"/>
          <w:sz w:val="28"/>
          <w:szCs w:val="28"/>
        </w:rPr>
        <w:t>Walk</w:t>
      </w:r>
      <w:proofErr w:type="spellEnd"/>
      <w:r w:rsidRPr="001331B0">
        <w:rPr>
          <w:rFonts w:ascii="Times New Roman" w:hAnsi="Times New Roman" w:cs="Times New Roman"/>
          <w:sz w:val="28"/>
          <w:szCs w:val="28"/>
        </w:rPr>
        <w:t xml:space="preserve"> </w:t>
      </w:r>
      <w:proofErr w:type="spellStart"/>
      <w:r w:rsidRPr="001331B0">
        <w:rPr>
          <w:rFonts w:ascii="Times New Roman" w:hAnsi="Times New Roman" w:cs="Times New Roman"/>
          <w:sz w:val="28"/>
          <w:szCs w:val="28"/>
        </w:rPr>
        <w:t>for</w:t>
      </w:r>
      <w:proofErr w:type="spellEnd"/>
      <w:r w:rsidRPr="001331B0">
        <w:rPr>
          <w:rFonts w:ascii="Times New Roman" w:hAnsi="Times New Roman" w:cs="Times New Roman"/>
          <w:sz w:val="28"/>
          <w:szCs w:val="28"/>
        </w:rPr>
        <w:t xml:space="preserve"> </w:t>
      </w:r>
      <w:proofErr w:type="spellStart"/>
      <w:r w:rsidRPr="001331B0">
        <w:rPr>
          <w:rFonts w:ascii="Times New Roman" w:hAnsi="Times New Roman" w:cs="Times New Roman"/>
          <w:sz w:val="28"/>
          <w:szCs w:val="28"/>
        </w:rPr>
        <w:t>Freedom</w:t>
      </w:r>
      <w:proofErr w:type="spellEnd"/>
      <w:r w:rsidRPr="001331B0">
        <w:rPr>
          <w:rFonts w:ascii="Times New Roman" w:hAnsi="Times New Roman" w:cs="Times New Roman"/>
          <w:sz w:val="28"/>
          <w:szCs w:val="28"/>
        </w:rPr>
        <w:t>/Хода за свободу” з нагоди Європейського дня боротьби з торгівлею людьми. Акція спрямована на підняття рівня обізнаності населення щодо проблеми торгівлі людьми, поширення важливої інформації про цю проблему та небезпеку, яку вона становить.</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Цього дня  інформаційна акція «Хода за свободу» відбудеться також в місті Запоріжжі на площі Фестивальній з 16.00 до 17.00 години.</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Серед її організаторів та учасників: департамент соціального захисту населення ЗОДА, Служба у справах дітей ЗОДА, Департамент освіти та науки ЗОДА, Департамент охорони здоров’я ЗОДА, Центр з надання безоплатної вторинної правової допомоги у Запорізькій області, Запорізький обласний/міські центри зайнятості, Запорізький обласний центр соціальних служб для сім’ї, дітей та молоді, Управління боротьби зі злочинами, пов’язаними з торгівлею людьми ГУНП України в Запорізькій області, ПГО «Егіда-Запоріжжя», Міжнародний благодійний фонд «</w:t>
      </w:r>
      <w:proofErr w:type="spellStart"/>
      <w:r w:rsidRPr="001331B0">
        <w:rPr>
          <w:rFonts w:ascii="Times New Roman" w:hAnsi="Times New Roman" w:cs="Times New Roman"/>
          <w:sz w:val="28"/>
          <w:szCs w:val="28"/>
        </w:rPr>
        <w:t>Карітас</w:t>
      </w:r>
      <w:proofErr w:type="spellEnd"/>
      <w:r w:rsidRPr="001331B0">
        <w:rPr>
          <w:rFonts w:ascii="Times New Roman" w:hAnsi="Times New Roman" w:cs="Times New Roman"/>
          <w:sz w:val="28"/>
          <w:szCs w:val="28"/>
        </w:rPr>
        <w:t xml:space="preserve"> Запоріжжя», інші державі установи та громадські організації, студентська молодь, особи, які стоять на обліку у центрі зайнятості м. Запоріжжя.</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Вказаний захід не є протестом, це мовчазна і мирна хода, яка проходить вже п’ять років поспіль на захист мільйонів чоловіків, жінок та дітей, які зараз знаходяться у рабстві. Минулого року до акції приєдналося 400 міст в 50 країнах світу.</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Небайдужі громадяни вийдуть на вулиці своїх міст аби об’єднати зусилля для подолання хвороби 21-го століття – сучасного рабства.</w:t>
      </w:r>
    </w:p>
    <w:p w:rsidR="001331B0" w:rsidRP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Акція буде проведена під патронатом Міністерства соціальної політики України, за підтримки Представництва неурядової громадської організації А21, Організації з безпеки та співробітництва в Європі, Міжнародної організації з міграції та місцевих адміністрацій.</w:t>
      </w:r>
    </w:p>
    <w:p w:rsidR="001331B0" w:rsidRDefault="001331B0" w:rsidP="001331B0">
      <w:pPr>
        <w:spacing w:after="0" w:line="240" w:lineRule="auto"/>
        <w:ind w:firstLine="709"/>
        <w:jc w:val="both"/>
        <w:rPr>
          <w:rFonts w:ascii="Times New Roman" w:hAnsi="Times New Roman" w:cs="Times New Roman"/>
          <w:sz w:val="28"/>
          <w:szCs w:val="28"/>
        </w:rPr>
      </w:pPr>
      <w:r w:rsidRPr="001331B0">
        <w:rPr>
          <w:rFonts w:ascii="Times New Roman" w:hAnsi="Times New Roman" w:cs="Times New Roman"/>
          <w:sz w:val="28"/>
          <w:szCs w:val="28"/>
        </w:rPr>
        <w:t>Сучасне рабство – це міжнародний злочин, який вражає усі нації, та впливає на людей усіх рівнів достатку. Істина полягає в тому, що без усвідомлення проблеми, її важко подолати. Через акцію „</w:t>
      </w:r>
      <w:proofErr w:type="spellStart"/>
      <w:r w:rsidRPr="001331B0">
        <w:rPr>
          <w:rFonts w:ascii="Times New Roman" w:hAnsi="Times New Roman" w:cs="Times New Roman"/>
          <w:sz w:val="28"/>
          <w:szCs w:val="28"/>
        </w:rPr>
        <w:t>Walk</w:t>
      </w:r>
      <w:proofErr w:type="spellEnd"/>
      <w:r w:rsidRPr="001331B0">
        <w:rPr>
          <w:rFonts w:ascii="Times New Roman" w:hAnsi="Times New Roman" w:cs="Times New Roman"/>
          <w:sz w:val="28"/>
          <w:szCs w:val="28"/>
        </w:rPr>
        <w:t xml:space="preserve"> </w:t>
      </w:r>
      <w:proofErr w:type="spellStart"/>
      <w:r w:rsidRPr="001331B0">
        <w:rPr>
          <w:rFonts w:ascii="Times New Roman" w:hAnsi="Times New Roman" w:cs="Times New Roman"/>
          <w:sz w:val="28"/>
          <w:szCs w:val="28"/>
        </w:rPr>
        <w:t>for</w:t>
      </w:r>
      <w:proofErr w:type="spellEnd"/>
      <w:r w:rsidRPr="001331B0">
        <w:rPr>
          <w:rFonts w:ascii="Times New Roman" w:hAnsi="Times New Roman" w:cs="Times New Roman"/>
          <w:sz w:val="28"/>
          <w:szCs w:val="28"/>
        </w:rPr>
        <w:t xml:space="preserve"> </w:t>
      </w:r>
      <w:proofErr w:type="spellStart"/>
      <w:r w:rsidRPr="001331B0">
        <w:rPr>
          <w:rFonts w:ascii="Times New Roman" w:hAnsi="Times New Roman" w:cs="Times New Roman"/>
          <w:sz w:val="28"/>
          <w:szCs w:val="28"/>
        </w:rPr>
        <w:t>Freedom</w:t>
      </w:r>
      <w:proofErr w:type="spellEnd"/>
      <w:r w:rsidRPr="001331B0">
        <w:rPr>
          <w:rFonts w:ascii="Times New Roman" w:hAnsi="Times New Roman" w:cs="Times New Roman"/>
          <w:sz w:val="28"/>
          <w:szCs w:val="28"/>
        </w:rPr>
        <w:t>/Хода за свободу” розвиваються діалоги, які  сприяють покращенню підтримки постраждалих та переслідуванню торговців людьми на глобальному рівні.</w:t>
      </w:r>
    </w:p>
    <w:p w:rsidR="00D26F96" w:rsidRDefault="00D26F96" w:rsidP="001331B0">
      <w:pPr>
        <w:spacing w:after="0" w:line="240" w:lineRule="auto"/>
        <w:ind w:firstLine="709"/>
        <w:jc w:val="both"/>
        <w:rPr>
          <w:rFonts w:ascii="Times New Roman" w:hAnsi="Times New Roman" w:cs="Times New Roman"/>
          <w:sz w:val="28"/>
          <w:szCs w:val="28"/>
        </w:rPr>
      </w:pPr>
    </w:p>
    <w:p w:rsidR="00D26F96" w:rsidRDefault="00D26F96" w:rsidP="00D26F96">
      <w:pPr>
        <w:spacing w:after="0" w:line="240" w:lineRule="auto"/>
        <w:ind w:firstLine="709"/>
        <w:jc w:val="both"/>
        <w:rPr>
          <w:rFonts w:ascii="Times New Roman" w:hAnsi="Times New Roman" w:cs="Times New Roman"/>
          <w:sz w:val="28"/>
          <w:szCs w:val="28"/>
        </w:rPr>
      </w:pPr>
    </w:p>
    <w:p w:rsidR="00D26F96" w:rsidRDefault="00D26F96" w:rsidP="00D26F96">
      <w:pPr>
        <w:spacing w:after="0" w:line="240" w:lineRule="auto"/>
        <w:ind w:firstLine="709"/>
        <w:jc w:val="both"/>
        <w:rPr>
          <w:rFonts w:ascii="Times New Roman" w:hAnsi="Times New Roman" w:cs="Times New Roman"/>
          <w:sz w:val="28"/>
          <w:szCs w:val="28"/>
        </w:rPr>
      </w:pPr>
    </w:p>
    <w:p w:rsidR="00D26F96" w:rsidRPr="00D26F96" w:rsidRDefault="00D26F96" w:rsidP="00D26F9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26F96">
        <w:rPr>
          <w:rFonts w:ascii="Times New Roman" w:hAnsi="Times New Roman" w:cs="Times New Roman"/>
          <w:b/>
          <w:sz w:val="28"/>
          <w:szCs w:val="28"/>
        </w:rPr>
        <w:t xml:space="preserve">5. </w:t>
      </w:r>
      <w:r>
        <w:rPr>
          <w:rFonts w:ascii="Times New Roman" w:hAnsi="Times New Roman" w:cs="Times New Roman"/>
          <w:b/>
          <w:sz w:val="28"/>
          <w:szCs w:val="28"/>
        </w:rPr>
        <w:t>Організаційно-правові з</w:t>
      </w:r>
      <w:r w:rsidRPr="00D26F96">
        <w:rPr>
          <w:rFonts w:ascii="Times New Roman" w:hAnsi="Times New Roman" w:cs="Times New Roman"/>
          <w:b/>
          <w:sz w:val="28"/>
          <w:szCs w:val="28"/>
        </w:rPr>
        <w:t>асади запобігання та протидії домашньому насильств</w:t>
      </w:r>
      <w:r>
        <w:rPr>
          <w:rFonts w:ascii="Times New Roman" w:hAnsi="Times New Roman" w:cs="Times New Roman"/>
          <w:b/>
          <w:sz w:val="28"/>
          <w:szCs w:val="28"/>
        </w:rPr>
        <w:t>у</w:t>
      </w:r>
      <w:r>
        <w:rPr>
          <w:rStyle w:val="a5"/>
          <w:rFonts w:ascii="Times New Roman" w:hAnsi="Times New Roman" w:cs="Times New Roman"/>
          <w:b/>
          <w:sz w:val="28"/>
          <w:szCs w:val="28"/>
        </w:rPr>
        <w:footnoteReference w:id="5"/>
      </w:r>
    </w:p>
    <w:p w:rsidR="00D26F96" w:rsidRDefault="00D26F96" w:rsidP="00D26F96">
      <w:pPr>
        <w:spacing w:after="0" w:line="240" w:lineRule="auto"/>
        <w:ind w:firstLine="709"/>
        <w:jc w:val="both"/>
        <w:rPr>
          <w:rFonts w:ascii="Times New Roman" w:hAnsi="Times New Roman" w:cs="Times New Roman"/>
          <w:sz w:val="28"/>
          <w:szCs w:val="28"/>
        </w:rPr>
      </w:pPr>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lastRenderedPageBreak/>
        <w:t>На пленарному засіданні 7 грудня 2017 року парламент ухвалив закон №5294 «Про запобігання та протидію домашньому насильству».</w:t>
      </w:r>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Закон визначає організаційно-правові засади запобігання та протидії домашньому насильству, основні напрями реалізації державної політики в цій сфері, спрямовані на захист прав та інтересів потерпілих від домашнього насильства.</w:t>
      </w:r>
    </w:p>
    <w:p w:rsid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Під поняттям «домашнє насильство» визначені діяння (або бездіяльність) фізичного, сексуального, психологічного чи економічного насильства, які відбуваються в сім'ї, в межах місця проживання або між родичами, а також між колишнім або нинішнім подружжям, або між тими, хто спільно проживає або проживав однією сім'єю, але не перебуває в родинних стосунках чи шлюбі між собою.</w:t>
      </w:r>
    </w:p>
    <w:p w:rsidR="00546A46" w:rsidRPr="00D26F96" w:rsidRDefault="00546A46" w:rsidP="00D26F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визначаються такі види домашнього насильства:</w:t>
      </w:r>
    </w:p>
    <w:p w:rsidR="00D26F96" w:rsidRDefault="00D26F96" w:rsidP="00D26F96">
      <w:pPr>
        <w:spacing w:after="0" w:line="240" w:lineRule="auto"/>
        <w:ind w:firstLine="709"/>
        <w:jc w:val="both"/>
        <w:rPr>
          <w:rFonts w:ascii="Times New Roman" w:hAnsi="Times New Roman" w:cs="Times New Roman"/>
          <w:color w:val="303030"/>
          <w:sz w:val="28"/>
          <w:szCs w:val="28"/>
          <w:shd w:val="clear" w:color="auto" w:fill="FFFFFF"/>
        </w:rPr>
      </w:pPr>
      <w:proofErr w:type="gramStart"/>
      <w:r w:rsidRPr="00D26F96">
        <w:rPr>
          <w:rFonts w:ascii="MS Gothic" w:eastAsia="MS Gothic" w:hAnsi="MS Gothic" w:cs="MS Gothic" w:hint="eastAsia"/>
          <w:color w:val="303030"/>
          <w:sz w:val="28"/>
          <w:szCs w:val="28"/>
          <w:shd w:val="clear" w:color="auto" w:fill="FFFFFF"/>
        </w:rPr>
        <w:t>✔</w:t>
      </w:r>
      <w:r w:rsidRPr="00D26F96">
        <w:rPr>
          <w:rStyle w:val="a8"/>
          <w:rFonts w:ascii="Times New Roman" w:hAnsi="Times New Roman" w:cs="Times New Roman"/>
          <w:color w:val="303030"/>
          <w:sz w:val="28"/>
          <w:szCs w:val="28"/>
          <w:shd w:val="clear" w:color="auto" w:fill="FFFFFF"/>
        </w:rPr>
        <w:t>Фізичне насильство</w:t>
      </w:r>
      <w:r w:rsidRPr="00D26F96">
        <w:rPr>
          <w:rFonts w:ascii="Times New Roman" w:hAnsi="Times New Roman" w:cs="Times New Roman"/>
          <w:color w:val="303030"/>
          <w:sz w:val="28"/>
          <w:szCs w:val="28"/>
          <w:shd w:val="clear" w:color="auto" w:fill="FFFFFF"/>
        </w:rPr>
        <w:t>- заподіяння тілесних ушкоджень, незаконне позбавлення волі, мордування, залишення в небезпеці, ненадання допомоги, заподіяння смерті.</w:t>
      </w:r>
      <w:proofErr w:type="gramEnd"/>
    </w:p>
    <w:p w:rsidR="00D26F96" w:rsidRDefault="00D26F96" w:rsidP="00D26F96">
      <w:pPr>
        <w:spacing w:after="0" w:line="240" w:lineRule="auto"/>
        <w:ind w:firstLine="709"/>
        <w:jc w:val="both"/>
        <w:rPr>
          <w:rFonts w:ascii="Times New Roman" w:hAnsi="Times New Roman" w:cs="Times New Roman"/>
          <w:color w:val="303030"/>
          <w:sz w:val="28"/>
          <w:szCs w:val="28"/>
          <w:shd w:val="clear" w:color="auto" w:fill="FFFFFF"/>
        </w:rPr>
      </w:pPr>
      <w:proofErr w:type="gramStart"/>
      <w:r w:rsidRPr="00D26F96">
        <w:rPr>
          <w:rFonts w:ascii="MS Gothic" w:eastAsia="MS Gothic" w:hAnsi="MS Gothic" w:cs="MS Gothic" w:hint="eastAsia"/>
          <w:color w:val="303030"/>
          <w:sz w:val="28"/>
          <w:szCs w:val="28"/>
          <w:shd w:val="clear" w:color="auto" w:fill="FFFFFF"/>
        </w:rPr>
        <w:t>✔</w:t>
      </w:r>
      <w:r w:rsidRPr="00D26F96">
        <w:rPr>
          <w:rStyle w:val="a8"/>
          <w:rFonts w:ascii="Times New Roman" w:hAnsi="Times New Roman" w:cs="Times New Roman"/>
          <w:color w:val="303030"/>
          <w:sz w:val="28"/>
          <w:szCs w:val="28"/>
          <w:shd w:val="clear" w:color="auto" w:fill="FFFFFF"/>
        </w:rPr>
        <w:t>Сексуальне насильство</w:t>
      </w:r>
      <w:r w:rsidRPr="00D26F96">
        <w:rPr>
          <w:rFonts w:ascii="Times New Roman" w:hAnsi="Times New Roman" w:cs="Times New Roman"/>
          <w:color w:val="303030"/>
          <w:sz w:val="28"/>
          <w:szCs w:val="28"/>
          <w:shd w:val="clear" w:color="auto" w:fill="FFFFFF"/>
        </w:rPr>
        <w:t>- будь-які діяння сексуального характеру, вчинені без згоди особи.</w:t>
      </w:r>
      <w:proofErr w:type="gramEnd"/>
    </w:p>
    <w:p w:rsidR="00D26F96" w:rsidRDefault="00D26F96" w:rsidP="00D26F96">
      <w:pPr>
        <w:spacing w:after="0" w:line="240" w:lineRule="auto"/>
        <w:ind w:firstLine="709"/>
        <w:jc w:val="both"/>
        <w:rPr>
          <w:rFonts w:ascii="Times New Roman" w:hAnsi="Times New Roman" w:cs="Times New Roman"/>
          <w:color w:val="303030"/>
          <w:sz w:val="28"/>
          <w:szCs w:val="28"/>
          <w:shd w:val="clear" w:color="auto" w:fill="FFFFFF"/>
        </w:rPr>
      </w:pPr>
      <w:proofErr w:type="gramStart"/>
      <w:r w:rsidRPr="00D26F96">
        <w:rPr>
          <w:rFonts w:ascii="MS Gothic" w:eastAsia="MS Gothic" w:hAnsi="MS Gothic" w:cs="MS Gothic" w:hint="eastAsia"/>
          <w:color w:val="303030"/>
          <w:sz w:val="28"/>
          <w:szCs w:val="28"/>
          <w:shd w:val="clear" w:color="auto" w:fill="FFFFFF"/>
        </w:rPr>
        <w:t>✔</w:t>
      </w:r>
      <w:r w:rsidRPr="00D26F96">
        <w:rPr>
          <w:rStyle w:val="a8"/>
          <w:rFonts w:ascii="Times New Roman" w:hAnsi="Times New Roman" w:cs="Times New Roman"/>
          <w:color w:val="303030"/>
          <w:sz w:val="28"/>
          <w:szCs w:val="28"/>
          <w:shd w:val="clear" w:color="auto" w:fill="FFFFFF"/>
        </w:rPr>
        <w:t>Психологічне насильство</w:t>
      </w:r>
      <w:r w:rsidRPr="00D26F96">
        <w:rPr>
          <w:rFonts w:ascii="Times New Roman" w:hAnsi="Times New Roman" w:cs="Times New Roman"/>
          <w:color w:val="303030"/>
          <w:sz w:val="28"/>
          <w:szCs w:val="28"/>
          <w:shd w:val="clear" w:color="auto" w:fill="FFFFFF"/>
        </w:rPr>
        <w:t>- словесні образи, погрози, приниження, переслідування, залякування, обмеження волевиявлення особи, контроль у репродуктивній сфері, що спричиняють невпевненість, нездатність захистити себе, шкоду психічному здоров’ю.</w:t>
      </w:r>
      <w:proofErr w:type="gramEnd"/>
    </w:p>
    <w:p w:rsidR="00D26F96" w:rsidRPr="00D26F96" w:rsidRDefault="00D26F96" w:rsidP="00D26F96">
      <w:pPr>
        <w:spacing w:after="0" w:line="240" w:lineRule="auto"/>
        <w:ind w:firstLine="709"/>
        <w:jc w:val="both"/>
        <w:rPr>
          <w:rFonts w:ascii="Times New Roman" w:hAnsi="Times New Roman" w:cs="Times New Roman"/>
          <w:color w:val="303030"/>
          <w:sz w:val="28"/>
          <w:szCs w:val="28"/>
          <w:shd w:val="clear" w:color="auto" w:fill="FFFFFF"/>
        </w:rPr>
      </w:pPr>
      <w:proofErr w:type="gramStart"/>
      <w:r w:rsidRPr="00D26F96">
        <w:rPr>
          <w:rFonts w:ascii="MS Gothic" w:eastAsia="MS Gothic" w:hAnsi="MS Gothic" w:cs="MS Gothic" w:hint="eastAsia"/>
          <w:color w:val="303030"/>
          <w:sz w:val="28"/>
          <w:szCs w:val="28"/>
          <w:shd w:val="clear" w:color="auto" w:fill="FFFFFF"/>
        </w:rPr>
        <w:t>✔</w:t>
      </w:r>
      <w:r w:rsidRPr="00D26F96">
        <w:rPr>
          <w:rStyle w:val="a8"/>
          <w:rFonts w:ascii="Times New Roman" w:hAnsi="Times New Roman" w:cs="Times New Roman"/>
          <w:color w:val="303030"/>
          <w:sz w:val="28"/>
          <w:szCs w:val="28"/>
          <w:shd w:val="clear" w:color="auto" w:fill="FFFFFF"/>
        </w:rPr>
        <w:t>Економічне насильство</w:t>
      </w:r>
      <w:r w:rsidRPr="00D26F96">
        <w:rPr>
          <w:rFonts w:ascii="Times New Roman" w:hAnsi="Times New Roman" w:cs="Times New Roman"/>
          <w:color w:val="303030"/>
          <w:sz w:val="28"/>
          <w:szCs w:val="28"/>
          <w:shd w:val="clear" w:color="auto" w:fill="FFFFFF"/>
        </w:rPr>
        <w:t>- умисне позбавлення житла, їжі, одягу, коштів чи документів, перешкоджання в отриманні лікування, заборона працювати, примушування до праці, заборона навчатися.</w:t>
      </w:r>
      <w:proofErr w:type="gramEnd"/>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Закон також передбачає створення Єдиного державного реєстру випадків домашнього насильства, створення програм для постраждалих і їхніх кривдників.</w:t>
      </w:r>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Так, Законом доповнюється Кримінальний кодекс новою статтею 126-1 «Домашнє насильство». Вона передбачає, що домашнє насильство, тобто умисне систематичне вчинення фізичного, психологічного або економічного насильства щодо теперішнього чи колишнього подружжя або іншої особи, з якою винний перебуває (перебував) у сімейних або близьких до них відносинах, що не спричинило тяжких наслідків, караються громадськими роботами на строк від ста п’ятдесяти до двохсот сорока годин, або арештом на строк до шести місяців, або обмеженням волі на строк до п’яти років або позбавленням волі на той самий строк.</w:t>
      </w:r>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 xml:space="preserve">Також у Кримінальному кодексі з’явиться нова стаття 151-3 «Примушування до шлюбу». Умисне примушування особи до вступу в шлюб або до продовження примусово укладеного шлюбу, або до вступу у співжиття без укладання шлюбу, або до продовження такого співжиття, або спонукання з цією метою особи до переміщення на територію іншої держави, ніж та, в якій вона проживає, що завдало істотної шкоди потерпілому, </w:t>
      </w:r>
      <w:r w:rsidRPr="00D26F96">
        <w:rPr>
          <w:rFonts w:ascii="Times New Roman" w:hAnsi="Times New Roman" w:cs="Times New Roman"/>
          <w:sz w:val="28"/>
          <w:szCs w:val="28"/>
        </w:rPr>
        <w:lastRenderedPageBreak/>
        <w:t>каратиметься арештом на строк до шести місяців або обмеженням волі на строк до трьох років, або позбавленням волі на такий самий строк.</w:t>
      </w:r>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Запроваджуються додаткові обтяжуючі обставини, що не обмежені фактом шлюбу – якщо особа перебуває в громадянському шлюбі з кривдником, є колишнім подружжям або тільки зустрічається, до кривдника будуть застосовані обтяжуючі обставини. До пом’якшуючих обставин віднесено застосування сили особою, що сама була жертвою, по відношенню людини, яка виступала кривдником.</w:t>
      </w:r>
    </w:p>
    <w:p w:rsidR="00D26F96" w:rsidRPr="00D26F96" w:rsidRDefault="00D26F96" w:rsidP="00D26F96">
      <w:pPr>
        <w:spacing w:after="0" w:line="240" w:lineRule="auto"/>
        <w:ind w:firstLine="709"/>
        <w:jc w:val="both"/>
        <w:rPr>
          <w:rFonts w:ascii="Times New Roman" w:hAnsi="Times New Roman" w:cs="Times New Roman"/>
          <w:sz w:val="28"/>
          <w:szCs w:val="28"/>
        </w:rPr>
      </w:pPr>
      <w:r w:rsidRPr="00D26F96">
        <w:rPr>
          <w:rFonts w:ascii="Times New Roman" w:hAnsi="Times New Roman" w:cs="Times New Roman"/>
          <w:sz w:val="28"/>
          <w:szCs w:val="28"/>
        </w:rPr>
        <w:t>Особам, які вчинили домашнє насильство, поряд з призначенням покарання, не пов’язаного з позбавленням волі, або звільненням з підстав, передбачених цим Кодексом, від кримінальної відповідальності чи покарання, суд може застосувати до особи, яка вчинила домашнє насильство, один або декілька обмежувальних заходів, відповідно до якого (яких) на засудженого можуть бути покладені такі обов’язки:</w:t>
      </w:r>
    </w:p>
    <w:p w:rsidR="00D26F96" w:rsidRPr="00D26F96" w:rsidRDefault="00D26F96" w:rsidP="00D26F96">
      <w:pPr>
        <w:pStyle w:val="a6"/>
        <w:numPr>
          <w:ilvl w:val="0"/>
          <w:numId w:val="6"/>
        </w:numPr>
        <w:spacing w:after="0" w:line="240" w:lineRule="auto"/>
        <w:ind w:left="357" w:hanging="357"/>
        <w:jc w:val="both"/>
        <w:rPr>
          <w:rFonts w:ascii="Times New Roman" w:hAnsi="Times New Roman" w:cs="Times New Roman"/>
          <w:sz w:val="28"/>
          <w:szCs w:val="28"/>
        </w:rPr>
      </w:pPr>
      <w:r w:rsidRPr="00D26F96">
        <w:rPr>
          <w:rFonts w:ascii="Times New Roman" w:hAnsi="Times New Roman" w:cs="Times New Roman"/>
          <w:sz w:val="28"/>
          <w:szCs w:val="28"/>
        </w:rPr>
        <w:t>заборонити перебувати в місці спільного проживання з особою, яка постраждала від домашнього насильства;</w:t>
      </w:r>
    </w:p>
    <w:p w:rsidR="00D26F96" w:rsidRPr="00D26F96" w:rsidRDefault="00D26F96" w:rsidP="00D26F96">
      <w:pPr>
        <w:pStyle w:val="a6"/>
        <w:numPr>
          <w:ilvl w:val="0"/>
          <w:numId w:val="6"/>
        </w:numPr>
        <w:spacing w:after="0" w:line="240" w:lineRule="auto"/>
        <w:ind w:left="357" w:hanging="357"/>
        <w:jc w:val="both"/>
        <w:rPr>
          <w:rFonts w:ascii="Times New Roman" w:hAnsi="Times New Roman" w:cs="Times New Roman"/>
          <w:sz w:val="28"/>
          <w:szCs w:val="28"/>
        </w:rPr>
      </w:pPr>
      <w:r w:rsidRPr="00D26F96">
        <w:rPr>
          <w:rFonts w:ascii="Times New Roman" w:hAnsi="Times New Roman" w:cs="Times New Roman"/>
          <w:sz w:val="28"/>
          <w:szCs w:val="28"/>
        </w:rPr>
        <w:t>обмежити спілкування з дитиною у разі, коли домашнє насильство вчинено стосовно дитини або у її присутності;</w:t>
      </w:r>
    </w:p>
    <w:p w:rsidR="00D26F96" w:rsidRPr="00D26F96" w:rsidRDefault="00D26F96" w:rsidP="00D26F96">
      <w:pPr>
        <w:pStyle w:val="a6"/>
        <w:numPr>
          <w:ilvl w:val="0"/>
          <w:numId w:val="6"/>
        </w:numPr>
        <w:spacing w:after="0" w:line="240" w:lineRule="auto"/>
        <w:ind w:left="357" w:hanging="357"/>
        <w:jc w:val="both"/>
        <w:rPr>
          <w:rFonts w:ascii="Times New Roman" w:hAnsi="Times New Roman" w:cs="Times New Roman"/>
          <w:sz w:val="28"/>
          <w:szCs w:val="28"/>
        </w:rPr>
      </w:pPr>
      <w:r w:rsidRPr="00D26F96">
        <w:rPr>
          <w:rFonts w:ascii="Times New Roman" w:hAnsi="Times New Roman" w:cs="Times New Roman"/>
          <w:sz w:val="28"/>
          <w:szCs w:val="28"/>
        </w:rPr>
        <w:t>заборонити наближатися на визначену відстань до місця, де особа, яка постраждала від домашнього насильства, може постійно чи тимчасово проживати, тимчасово чи систематично перебувати у зв’язку із роботою, навчанням, лікуванням чи з інших причин;</w:t>
      </w:r>
    </w:p>
    <w:p w:rsidR="00D26F96" w:rsidRPr="00D26F96" w:rsidRDefault="00D26F96" w:rsidP="00D26F96">
      <w:pPr>
        <w:pStyle w:val="a6"/>
        <w:numPr>
          <w:ilvl w:val="0"/>
          <w:numId w:val="6"/>
        </w:numPr>
        <w:spacing w:after="0" w:line="240" w:lineRule="auto"/>
        <w:ind w:left="357" w:hanging="357"/>
        <w:jc w:val="both"/>
        <w:rPr>
          <w:rFonts w:ascii="Times New Roman" w:hAnsi="Times New Roman" w:cs="Times New Roman"/>
          <w:sz w:val="28"/>
          <w:szCs w:val="28"/>
        </w:rPr>
      </w:pPr>
      <w:r w:rsidRPr="00D26F96">
        <w:rPr>
          <w:rFonts w:ascii="Times New Roman" w:hAnsi="Times New Roman" w:cs="Times New Roman"/>
          <w:sz w:val="28"/>
          <w:szCs w:val="28"/>
        </w:rPr>
        <w:t>заборонити листування, телефонні переговори з особою, яка постраждала від домашнього насильства, або контактувати з нею через інші засоби зв’язку як особисто, так і через третіх осіб;</w:t>
      </w:r>
    </w:p>
    <w:p w:rsidR="00D26F96" w:rsidRDefault="00D26F96" w:rsidP="00D26F96">
      <w:pPr>
        <w:pStyle w:val="a6"/>
        <w:numPr>
          <w:ilvl w:val="0"/>
          <w:numId w:val="6"/>
        </w:numPr>
        <w:spacing w:after="0" w:line="240" w:lineRule="auto"/>
        <w:ind w:left="357" w:hanging="357"/>
        <w:jc w:val="both"/>
        <w:rPr>
          <w:rFonts w:ascii="Times New Roman" w:hAnsi="Times New Roman" w:cs="Times New Roman"/>
          <w:sz w:val="28"/>
          <w:szCs w:val="28"/>
        </w:rPr>
      </w:pPr>
      <w:r w:rsidRPr="00D26F96">
        <w:rPr>
          <w:rFonts w:ascii="Times New Roman" w:hAnsi="Times New Roman" w:cs="Times New Roman"/>
          <w:sz w:val="28"/>
          <w:szCs w:val="28"/>
        </w:rPr>
        <w:t xml:space="preserve">направити її для проходження програми для кривдників або </w:t>
      </w:r>
      <w:proofErr w:type="spellStart"/>
      <w:r w:rsidRPr="00D26F96">
        <w:rPr>
          <w:rFonts w:ascii="Times New Roman" w:hAnsi="Times New Roman" w:cs="Times New Roman"/>
          <w:sz w:val="28"/>
          <w:szCs w:val="28"/>
        </w:rPr>
        <w:t>пробаційної</w:t>
      </w:r>
      <w:proofErr w:type="spellEnd"/>
      <w:r w:rsidRPr="00D26F96">
        <w:rPr>
          <w:rFonts w:ascii="Times New Roman" w:hAnsi="Times New Roman" w:cs="Times New Roman"/>
          <w:sz w:val="28"/>
          <w:szCs w:val="28"/>
        </w:rPr>
        <w:t xml:space="preserve"> програми.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За статистикою, 68% українських жінок в тій чи іншій мірі зазнавали домашнього насилля, і менше 2% з них звертається за допомогою до державних органів влади.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Держава гарантує безоплатну соціальну, медичну, психологічну, правову допомогу та тимчасовий притулок.</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 xml:space="preserve">Постраждали мають право на конфіденційність, вибір спеціаліста за статтю (за можливості) та відшкодування кривдниками матеріальних збитків і шкоди. </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Звичаї, релігійні переконання, традиції не підставою для звільнення кривдника від відповідальності.</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Спеціальні заходи, які застосовуються до кривдника :</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Терміновий заборонний припис:</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Зобов’язання залишити місце проживання (перебування) постраждалої особи;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Заборону на вхід та перебування у місці проживання (перебування) постраждалої особи;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 xml:space="preserve">Заборону в будь-який спосіб  контактувати із постраждалою особою </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lastRenderedPageBreak/>
        <w:t>Терміновий заборонний припис виноситься кривднику уповноваженими підрозділами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Під час вирішення питання про винесення термінового заборонного припису пріоритет надається безпеці постраждалої особи. Зазначена вимога поширюється також на місце спільного проживання (перебування) постраждалої особи та кривдника незалежно від їхніх майнових прав на відповідне житлове приміщення.</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Терміновий заборонний припис виноситься за заявою постраждалої особи, а також за власною ініціативою працівником уповноваженого підрозділу органів Національної поліції України за результатами оцінки ризиків.</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Терміновий заборонний припис виноситься строком до 10 діб.</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Терміновий заборонний припис вручається кривднику, а його копія - постраждалій особі або її представнику.</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Дія термінового заборонного припису припиняється у разі застосування до кривдника судом адміністративного стягнення у вигляді адміністративного арешту або обрання щодо нього запобіжного заходу у вигляді тримання під вартою у кримінальному провадженні.</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Обмежувальний припис:</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Заборона перебувати у місці спільного проживання (перебування);</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Усунення перешкод у користуванні майном потерпілою особою;</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Обмеження спілкування з постраждалою дитиною;</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Заборона наближатися на визначену відстань до місця проживання (перебування), навчання, роботи, інших місць відвідування постраждалої особи;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Заборона особисто і через третіх осіб розшукувати постраждалу особу, переслідувати її, спілкуватися з нею;</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Заборона вести листування, телефонні переговори з постраждалою особою.</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Право звернутися до суду із заявою про видачу обмежувального припису стосовно кривдника мають:</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¾   постраждала особа або її представник;</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¾   у разі вчинення домашнього насильства стосовно дитини - батьки або інші законні представники дитини, родичі дитини (баба, дід, повнолітні брат, сестра), мачуха або вітчим дитини, а також орган опіки та піклування;</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 xml:space="preserve">¾   у разі вчинення домашнього насильства стосовно недієздатної особи - опікун, орган опіки та піклування. Рішення про видачу обмежувального припису або про відмову у видачі обмежувального припису приймається на підставі оцінки ризиків.    </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 xml:space="preserve"> Обмежувальний припис видається на строк від одного до шести місяців.</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lastRenderedPageBreak/>
        <w:t>Про видачу обмежувального припису кривднику суддя у встановлений законом строк інформує уповноважені підрозділи органів Національної поліції України за місцем проживання (перебування) постраждалої особи для взяття кривдника на профілактичний облік, а також районні, районні у містах Києві і Севастополі державні адміністрації та виконавчі органи сільських, селищних, міських, районних у містах (у разі їх створення) рад за місцем проживання (перебування) постраждалої особи.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Порядок видачі судом обмежувального припису визначається Цивільним процесуальним кодексом України. Постраждала особа може вимагати від кривдника компенсації її витрат на лікування, отримання консультацій або на оренду житла, яке вона винаймає (винаймала) з метою запобігання вчиненню стосовно неї домашнього насильства, а також періодичних витрат на її утримання, утримання дітей чи інших членів сім’ї, які перебувають (перебували) на утриманні кривдника, у порядку, передбаченому законодавством.</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У разі порушення кримінального провадження у зв’язку з вчиненням домашнього насильства перелік заходів щодо тимчасового обмеження прав або покладення обов’язків на особу, яка підозрюється, обвинувачується у вчиненні кримінального правопорушення, пов’язаного з домашнім насильством, або визнана винною у його вчиненні, а також порядок застосування таких заходів визначаються Кримінальним кодексом України та Кримінальним процесуальним кодексом України.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hAnsi="Times New Roman" w:cs="Times New Roman"/>
          <w:sz w:val="28"/>
          <w:szCs w:val="28"/>
        </w:rPr>
        <w:t>Сьогодні союзниками у боротьбі за права жінок є:</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proofErr w:type="gramStart"/>
      <w:r w:rsidRPr="00D26F96">
        <w:rPr>
          <w:rFonts w:ascii="Times New Roman" w:eastAsia="MS Gothic" w:hAnsi="Times New Roman" w:cs="Times New Roman" w:hint="eastAsia"/>
          <w:sz w:val="28"/>
          <w:szCs w:val="28"/>
        </w:rPr>
        <w:t>✔</w:t>
      </w:r>
      <w:r w:rsidRPr="00D26F96">
        <w:rPr>
          <w:rFonts w:ascii="Times New Roman" w:hAnsi="Times New Roman" w:cs="Times New Roman"/>
          <w:sz w:val="28"/>
          <w:szCs w:val="28"/>
        </w:rPr>
        <w:t>громадські об’єднання, які займаються захистом прав жінок, боротьбою з гендерною нерівністю.</w:t>
      </w:r>
      <w:proofErr w:type="gramEnd"/>
      <w:r w:rsidRPr="00D26F96">
        <w:rPr>
          <w:rFonts w:ascii="Times New Roman" w:hAnsi="Times New Roman" w:cs="Times New Roman"/>
          <w:sz w:val="28"/>
          <w:szCs w:val="28"/>
        </w:rPr>
        <w:t xml:space="preserve"> Вони є в кожній області;</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r w:rsidRPr="00D26F96">
        <w:rPr>
          <w:rFonts w:ascii="Times New Roman" w:eastAsia="MS Gothic" w:hAnsi="Times New Roman" w:cs="Times New Roman" w:hint="eastAsia"/>
          <w:sz w:val="28"/>
          <w:szCs w:val="28"/>
        </w:rPr>
        <w:t>✔</w:t>
      </w:r>
      <w:r w:rsidRPr="00D26F96">
        <w:rPr>
          <w:rFonts w:ascii="Times New Roman" w:hAnsi="Times New Roman" w:cs="Times New Roman"/>
          <w:sz w:val="28"/>
          <w:szCs w:val="28"/>
        </w:rPr>
        <w:t>сімейні та громадські радники;</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proofErr w:type="gramStart"/>
      <w:r w:rsidRPr="00D26F96">
        <w:rPr>
          <w:rFonts w:ascii="Times New Roman" w:eastAsia="MS Gothic" w:hAnsi="Times New Roman" w:cs="Times New Roman" w:hint="eastAsia"/>
          <w:sz w:val="28"/>
          <w:szCs w:val="28"/>
        </w:rPr>
        <w:t>✔</w:t>
      </w:r>
      <w:r w:rsidRPr="00D26F96">
        <w:rPr>
          <w:rFonts w:ascii="Times New Roman" w:hAnsi="Times New Roman" w:cs="Times New Roman"/>
          <w:sz w:val="28"/>
          <w:szCs w:val="28"/>
        </w:rPr>
        <w:t>поліція - законом України «Про запобігання та протидію домашньому насильству» поліція отримала ще більше інструментів, щоб ставити кривдників на місце і карати.</w:t>
      </w:r>
      <w:proofErr w:type="gramEnd"/>
      <w:r w:rsidRPr="00D26F96">
        <w:rPr>
          <w:rFonts w:ascii="Times New Roman" w:hAnsi="Times New Roman" w:cs="Times New Roman"/>
          <w:sz w:val="28"/>
          <w:szCs w:val="28"/>
        </w:rPr>
        <w:t xml:space="preserve"> За домашнє насильство передбачена не тільки адміністративна відповідальність, в разі його систематичності – кримінальна відповідальність;</w:t>
      </w:r>
    </w:p>
    <w:p w:rsidR="00D26F96" w:rsidRPr="00D26F96" w:rsidRDefault="00D26F96" w:rsidP="00D26F96">
      <w:pPr>
        <w:pStyle w:val="a6"/>
        <w:spacing w:after="0" w:line="240" w:lineRule="auto"/>
        <w:ind w:left="0" w:firstLine="709"/>
        <w:jc w:val="both"/>
        <w:rPr>
          <w:rFonts w:ascii="Times New Roman" w:hAnsi="Times New Roman" w:cs="Times New Roman"/>
          <w:sz w:val="28"/>
          <w:szCs w:val="28"/>
        </w:rPr>
      </w:pPr>
      <w:proofErr w:type="gramStart"/>
      <w:r w:rsidRPr="00D26F96">
        <w:rPr>
          <w:rFonts w:ascii="Times New Roman" w:eastAsia="MS Gothic" w:hAnsi="Times New Roman" w:cs="Times New Roman" w:hint="eastAsia"/>
          <w:sz w:val="28"/>
          <w:szCs w:val="28"/>
        </w:rPr>
        <w:t>✔</w:t>
      </w:r>
      <w:r w:rsidRPr="00D26F96">
        <w:rPr>
          <w:rFonts w:ascii="Times New Roman" w:hAnsi="Times New Roman" w:cs="Times New Roman"/>
          <w:sz w:val="28"/>
          <w:szCs w:val="28"/>
        </w:rPr>
        <w:t>фахівці системи безоплатної правової допомоги - усі потерпілі від домашнього насильства мають право на отримання первинної і вторинної правової допомоги.</w:t>
      </w:r>
      <w:proofErr w:type="gramEnd"/>
    </w:p>
    <w:sectPr w:rsidR="00D26F96" w:rsidRPr="00D26F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1A" w:rsidRDefault="00EC6A1A" w:rsidP="002928D9">
      <w:pPr>
        <w:spacing w:after="0" w:line="240" w:lineRule="auto"/>
      </w:pPr>
      <w:r>
        <w:separator/>
      </w:r>
    </w:p>
  </w:endnote>
  <w:endnote w:type="continuationSeparator" w:id="0">
    <w:p w:rsidR="00EC6A1A" w:rsidRDefault="00EC6A1A" w:rsidP="0029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1A" w:rsidRDefault="00EC6A1A" w:rsidP="002928D9">
      <w:pPr>
        <w:spacing w:after="0" w:line="240" w:lineRule="auto"/>
      </w:pPr>
      <w:r>
        <w:separator/>
      </w:r>
    </w:p>
  </w:footnote>
  <w:footnote w:type="continuationSeparator" w:id="0">
    <w:p w:rsidR="00EC6A1A" w:rsidRDefault="00EC6A1A" w:rsidP="002928D9">
      <w:pPr>
        <w:spacing w:after="0" w:line="240" w:lineRule="auto"/>
      </w:pPr>
      <w:r>
        <w:continuationSeparator/>
      </w:r>
    </w:p>
  </w:footnote>
  <w:footnote w:id="1">
    <w:p w:rsidR="002928D9" w:rsidRDefault="002928D9">
      <w:pPr>
        <w:pStyle w:val="a3"/>
      </w:pPr>
      <w:r>
        <w:rPr>
          <w:rStyle w:val="a5"/>
        </w:rPr>
        <w:footnoteRef/>
      </w:r>
      <w:r>
        <w:t xml:space="preserve"> </w:t>
      </w:r>
      <w:proofErr w:type="spellStart"/>
      <w:r>
        <w:t>Губаль</w:t>
      </w:r>
      <w:proofErr w:type="spellEnd"/>
      <w:r>
        <w:t xml:space="preserve"> Ю.В. Конституційно-правовий статус дитини в Україні та Угорщині: порівняльно-правове дослідження. Дисертація на здобуття наукового ступеня кандидата юридичних наук. Спеціальність 12.00.02 – конституційне право; муніципальне право. Ужгород. 207 с.</w:t>
      </w:r>
    </w:p>
  </w:footnote>
  <w:footnote w:id="2">
    <w:p w:rsidR="002928D9" w:rsidRDefault="002928D9">
      <w:pPr>
        <w:pStyle w:val="a3"/>
      </w:pPr>
      <w:r>
        <w:rPr>
          <w:rStyle w:val="a5"/>
        </w:rPr>
        <w:footnoteRef/>
      </w:r>
      <w:r>
        <w:t xml:space="preserve"> </w:t>
      </w:r>
      <w:proofErr w:type="spellStart"/>
      <w:r>
        <w:t>Уварова</w:t>
      </w:r>
      <w:proofErr w:type="spellEnd"/>
      <w:r>
        <w:t xml:space="preserve">, Олена Олександрівна. У18 Захист прав жінок: юридичні інструменти забезпечення ґендерної рівності в Україні : навчальний посібник / О. О. </w:t>
      </w:r>
      <w:proofErr w:type="spellStart"/>
      <w:r>
        <w:t>Уварова</w:t>
      </w:r>
      <w:proofErr w:type="spellEnd"/>
      <w:r>
        <w:t xml:space="preserve">, К. К </w:t>
      </w:r>
      <w:proofErr w:type="spellStart"/>
      <w:r>
        <w:t>Дайнеко</w:t>
      </w:r>
      <w:proofErr w:type="spellEnd"/>
      <w:r>
        <w:t>. – Харків, 2019. – 116 с.</w:t>
      </w:r>
    </w:p>
  </w:footnote>
  <w:footnote w:id="3">
    <w:p w:rsidR="002936F3" w:rsidRDefault="002936F3" w:rsidP="007443D8">
      <w:pPr>
        <w:pStyle w:val="a3"/>
        <w:jc w:val="both"/>
        <w:rPr>
          <w:rFonts w:ascii="Times New Roman" w:hAnsi="Times New Roman" w:cs="Times New Roman"/>
          <w:color w:val="000000"/>
        </w:rPr>
      </w:pPr>
      <w:r>
        <w:rPr>
          <w:rStyle w:val="a5"/>
        </w:rPr>
        <w:footnoteRef/>
      </w:r>
      <w:r>
        <w:t xml:space="preserve"> </w:t>
      </w:r>
      <w:proofErr w:type="spellStart"/>
      <w:r w:rsidR="007443D8" w:rsidRPr="007443D8">
        <w:rPr>
          <w:rFonts w:ascii="Times New Roman" w:hAnsi="Times New Roman" w:cs="Times New Roman"/>
          <w:color w:val="000000"/>
        </w:rPr>
        <w:t>Фурсова</w:t>
      </w:r>
      <w:proofErr w:type="spellEnd"/>
      <w:r w:rsidR="007443D8">
        <w:rPr>
          <w:rFonts w:ascii="Times New Roman" w:hAnsi="Times New Roman" w:cs="Times New Roman"/>
          <w:color w:val="000000"/>
        </w:rPr>
        <w:t xml:space="preserve"> </w:t>
      </w:r>
      <w:r w:rsidR="007443D8" w:rsidRPr="007443D8">
        <w:rPr>
          <w:rFonts w:ascii="Times New Roman" w:hAnsi="Times New Roman" w:cs="Times New Roman"/>
          <w:color w:val="000000"/>
        </w:rPr>
        <w:t>Л.</w:t>
      </w:r>
      <w:r w:rsidR="007443D8">
        <w:rPr>
          <w:rFonts w:ascii="Times New Roman" w:hAnsi="Times New Roman" w:cs="Times New Roman"/>
          <w:color w:val="000000"/>
        </w:rPr>
        <w:t xml:space="preserve"> </w:t>
      </w:r>
      <w:r w:rsidR="007443D8" w:rsidRPr="007443D8">
        <w:rPr>
          <w:rFonts w:ascii="Times New Roman" w:hAnsi="Times New Roman" w:cs="Times New Roman"/>
          <w:color w:val="000000"/>
        </w:rPr>
        <w:t xml:space="preserve">Права людей з інвалідністю </w:t>
      </w:r>
      <w:hyperlink r:id="rId1" w:history="1">
        <w:r w:rsidR="007443D8" w:rsidRPr="0031610A">
          <w:rPr>
            <w:rStyle w:val="a7"/>
            <w:rFonts w:ascii="Times New Roman" w:hAnsi="Times New Roman" w:cs="Times New Roman"/>
          </w:rPr>
          <w:t>https://helsinki.org.ua/prava-lyudej-z-invalidnistyu-l-fursova/</w:t>
        </w:r>
      </w:hyperlink>
    </w:p>
    <w:p w:rsidR="007443D8" w:rsidRPr="007443D8" w:rsidRDefault="007443D8" w:rsidP="007443D8">
      <w:pPr>
        <w:pStyle w:val="a3"/>
        <w:jc w:val="both"/>
        <w:rPr>
          <w:rFonts w:ascii="Times New Roman" w:hAnsi="Times New Roman" w:cs="Times New Roman"/>
        </w:rPr>
      </w:pPr>
    </w:p>
  </w:footnote>
  <w:footnote w:id="4">
    <w:p w:rsidR="00D26F96" w:rsidRDefault="00D26F96">
      <w:pPr>
        <w:pStyle w:val="a3"/>
      </w:pPr>
      <w:r>
        <w:rPr>
          <w:rStyle w:val="a5"/>
        </w:rPr>
        <w:footnoteRef/>
      </w:r>
      <w:r>
        <w:t xml:space="preserve"> </w:t>
      </w:r>
      <w:hyperlink r:id="rId2" w:history="1">
        <w:r w:rsidRPr="0031610A">
          <w:rPr>
            <w:rStyle w:val="a7"/>
          </w:rPr>
          <w:t>http://dszn-zoda.gov.ua/content/прес-інформація-до-європейського-дня-боротьби-з-торгівлею-людьми</w:t>
        </w:r>
      </w:hyperlink>
    </w:p>
    <w:p w:rsidR="00D26F96" w:rsidRDefault="00D26F96">
      <w:pPr>
        <w:pStyle w:val="a3"/>
      </w:pPr>
    </w:p>
  </w:footnote>
  <w:footnote w:id="5">
    <w:p w:rsidR="00D26F96" w:rsidRDefault="00D26F96">
      <w:pPr>
        <w:pStyle w:val="a3"/>
      </w:pPr>
      <w:r>
        <w:rPr>
          <w:rStyle w:val="a5"/>
        </w:rPr>
        <w:footnoteRef/>
      </w:r>
      <w:r>
        <w:t xml:space="preserve"> </w:t>
      </w:r>
      <w:hyperlink r:id="rId3" w:history="1">
        <w:r w:rsidRPr="0031610A">
          <w:rPr>
            <w:rStyle w:val="a7"/>
          </w:rPr>
          <w:t>https://www.zoda.gov.ua/news/45910/zapobigannya-domashnomu-nasilstvu.html</w:t>
        </w:r>
      </w:hyperlink>
    </w:p>
    <w:p w:rsidR="00D26F96" w:rsidRDefault="00D26F96">
      <w:pPr>
        <w:pStyle w:val="a3"/>
      </w:pPr>
      <w:hyperlink r:id="rId4" w:history="1">
        <w:r w:rsidRPr="0031610A">
          <w:rPr>
            <w:rStyle w:val="a7"/>
          </w:rPr>
          <w:t>https://darn.kyivcity.gov.ua/news/22171.html</w:t>
        </w:r>
      </w:hyperlink>
    </w:p>
    <w:p w:rsidR="00D26F96" w:rsidRDefault="00D26F96">
      <w:pPr>
        <w:pStyle w:val="a3"/>
      </w:pPr>
    </w:p>
    <w:p w:rsidR="00D26F96" w:rsidRDefault="00D26F9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777"/>
    <w:multiLevelType w:val="hybridMultilevel"/>
    <w:tmpl w:val="7FA2C89A"/>
    <w:lvl w:ilvl="0" w:tplc="AD9493E0">
      <w:start w:val="1"/>
      <w:numFmt w:val="decimal"/>
      <w:lvlText w:val="%1."/>
      <w:lvlJc w:val="left"/>
      <w:pPr>
        <w:ind w:left="2126" w:hanging="708"/>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0FD20C84"/>
    <w:multiLevelType w:val="hybridMultilevel"/>
    <w:tmpl w:val="A70055FA"/>
    <w:lvl w:ilvl="0" w:tplc="AD9493E0">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54D3FDC"/>
    <w:multiLevelType w:val="hybridMultilevel"/>
    <w:tmpl w:val="3D80D9CE"/>
    <w:lvl w:ilvl="0" w:tplc="AD9493E0">
      <w:start w:val="1"/>
      <w:numFmt w:val="decimal"/>
      <w:lvlText w:val="%1."/>
      <w:lvlJc w:val="left"/>
      <w:pPr>
        <w:ind w:left="2126" w:hanging="708"/>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45411714"/>
    <w:multiLevelType w:val="hybridMultilevel"/>
    <w:tmpl w:val="077C92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3247CD9"/>
    <w:multiLevelType w:val="hybridMultilevel"/>
    <w:tmpl w:val="DA1057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7569029D"/>
    <w:multiLevelType w:val="hybridMultilevel"/>
    <w:tmpl w:val="E97240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66"/>
    <w:rsid w:val="001331B0"/>
    <w:rsid w:val="002928D9"/>
    <w:rsid w:val="002936F3"/>
    <w:rsid w:val="00486A5C"/>
    <w:rsid w:val="00546A46"/>
    <w:rsid w:val="005849D8"/>
    <w:rsid w:val="007443D8"/>
    <w:rsid w:val="00C31866"/>
    <w:rsid w:val="00D26F96"/>
    <w:rsid w:val="00E20241"/>
    <w:rsid w:val="00EC6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28D9"/>
    <w:pPr>
      <w:spacing w:after="0" w:line="240" w:lineRule="auto"/>
    </w:pPr>
    <w:rPr>
      <w:sz w:val="20"/>
      <w:szCs w:val="20"/>
    </w:rPr>
  </w:style>
  <w:style w:type="character" w:customStyle="1" w:styleId="a4">
    <w:name w:val="Текст сноски Знак"/>
    <w:basedOn w:val="a0"/>
    <w:link w:val="a3"/>
    <w:uiPriority w:val="99"/>
    <w:semiHidden/>
    <w:rsid w:val="002928D9"/>
    <w:rPr>
      <w:sz w:val="20"/>
      <w:szCs w:val="20"/>
    </w:rPr>
  </w:style>
  <w:style w:type="character" w:styleId="a5">
    <w:name w:val="footnote reference"/>
    <w:basedOn w:val="a0"/>
    <w:uiPriority w:val="99"/>
    <w:semiHidden/>
    <w:unhideWhenUsed/>
    <w:rsid w:val="002928D9"/>
    <w:rPr>
      <w:vertAlign w:val="superscript"/>
    </w:rPr>
  </w:style>
  <w:style w:type="paragraph" w:styleId="a6">
    <w:name w:val="List Paragraph"/>
    <w:basedOn w:val="a"/>
    <w:uiPriority w:val="34"/>
    <w:qFormat/>
    <w:rsid w:val="002928D9"/>
    <w:pPr>
      <w:ind w:left="720"/>
      <w:contextualSpacing/>
    </w:pPr>
  </w:style>
  <w:style w:type="character" w:styleId="a7">
    <w:name w:val="Hyperlink"/>
    <w:basedOn w:val="a0"/>
    <w:uiPriority w:val="99"/>
    <w:unhideWhenUsed/>
    <w:rsid w:val="007443D8"/>
    <w:rPr>
      <w:color w:val="0000FF" w:themeColor="hyperlink"/>
      <w:u w:val="single"/>
    </w:rPr>
  </w:style>
  <w:style w:type="character" w:styleId="a8">
    <w:name w:val="Strong"/>
    <w:basedOn w:val="a0"/>
    <w:uiPriority w:val="22"/>
    <w:qFormat/>
    <w:rsid w:val="00D26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28D9"/>
    <w:pPr>
      <w:spacing w:after="0" w:line="240" w:lineRule="auto"/>
    </w:pPr>
    <w:rPr>
      <w:sz w:val="20"/>
      <w:szCs w:val="20"/>
    </w:rPr>
  </w:style>
  <w:style w:type="character" w:customStyle="1" w:styleId="a4">
    <w:name w:val="Текст сноски Знак"/>
    <w:basedOn w:val="a0"/>
    <w:link w:val="a3"/>
    <w:uiPriority w:val="99"/>
    <w:semiHidden/>
    <w:rsid w:val="002928D9"/>
    <w:rPr>
      <w:sz w:val="20"/>
      <w:szCs w:val="20"/>
    </w:rPr>
  </w:style>
  <w:style w:type="character" w:styleId="a5">
    <w:name w:val="footnote reference"/>
    <w:basedOn w:val="a0"/>
    <w:uiPriority w:val="99"/>
    <w:semiHidden/>
    <w:unhideWhenUsed/>
    <w:rsid w:val="002928D9"/>
    <w:rPr>
      <w:vertAlign w:val="superscript"/>
    </w:rPr>
  </w:style>
  <w:style w:type="paragraph" w:styleId="a6">
    <w:name w:val="List Paragraph"/>
    <w:basedOn w:val="a"/>
    <w:uiPriority w:val="34"/>
    <w:qFormat/>
    <w:rsid w:val="002928D9"/>
    <w:pPr>
      <w:ind w:left="720"/>
      <w:contextualSpacing/>
    </w:pPr>
  </w:style>
  <w:style w:type="character" w:styleId="a7">
    <w:name w:val="Hyperlink"/>
    <w:basedOn w:val="a0"/>
    <w:uiPriority w:val="99"/>
    <w:unhideWhenUsed/>
    <w:rsid w:val="007443D8"/>
    <w:rPr>
      <w:color w:val="0000FF" w:themeColor="hyperlink"/>
      <w:u w:val="single"/>
    </w:rPr>
  </w:style>
  <w:style w:type="character" w:styleId="a8">
    <w:name w:val="Strong"/>
    <w:basedOn w:val="a0"/>
    <w:uiPriority w:val="22"/>
    <w:qFormat/>
    <w:rsid w:val="00D26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3593">
      <w:bodyDiv w:val="1"/>
      <w:marLeft w:val="0"/>
      <w:marRight w:val="0"/>
      <w:marTop w:val="0"/>
      <w:marBottom w:val="0"/>
      <w:divBdr>
        <w:top w:val="none" w:sz="0" w:space="0" w:color="auto"/>
        <w:left w:val="none" w:sz="0" w:space="0" w:color="auto"/>
        <w:bottom w:val="none" w:sz="0" w:space="0" w:color="auto"/>
        <w:right w:val="none" w:sz="0" w:space="0" w:color="auto"/>
      </w:divBdr>
    </w:div>
    <w:div w:id="923295164">
      <w:bodyDiv w:val="1"/>
      <w:marLeft w:val="0"/>
      <w:marRight w:val="0"/>
      <w:marTop w:val="0"/>
      <w:marBottom w:val="0"/>
      <w:divBdr>
        <w:top w:val="none" w:sz="0" w:space="0" w:color="auto"/>
        <w:left w:val="none" w:sz="0" w:space="0" w:color="auto"/>
        <w:bottom w:val="none" w:sz="0" w:space="0" w:color="auto"/>
        <w:right w:val="none" w:sz="0" w:space="0" w:color="auto"/>
      </w:divBdr>
    </w:div>
    <w:div w:id="966011845">
      <w:bodyDiv w:val="1"/>
      <w:marLeft w:val="0"/>
      <w:marRight w:val="0"/>
      <w:marTop w:val="0"/>
      <w:marBottom w:val="0"/>
      <w:divBdr>
        <w:top w:val="none" w:sz="0" w:space="0" w:color="auto"/>
        <w:left w:val="none" w:sz="0" w:space="0" w:color="auto"/>
        <w:bottom w:val="none" w:sz="0" w:space="0" w:color="auto"/>
        <w:right w:val="none" w:sz="0" w:space="0" w:color="auto"/>
      </w:divBdr>
    </w:div>
    <w:div w:id="1414351460">
      <w:bodyDiv w:val="1"/>
      <w:marLeft w:val="0"/>
      <w:marRight w:val="0"/>
      <w:marTop w:val="0"/>
      <w:marBottom w:val="0"/>
      <w:divBdr>
        <w:top w:val="none" w:sz="0" w:space="0" w:color="auto"/>
        <w:left w:val="none" w:sz="0" w:space="0" w:color="auto"/>
        <w:bottom w:val="none" w:sz="0" w:space="0" w:color="auto"/>
        <w:right w:val="none" w:sz="0" w:space="0" w:color="auto"/>
      </w:divBdr>
    </w:div>
    <w:div w:id="15315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oda.gov.ua/news/45910/zapobigannya-domashnomu-nasilstvu.html" TargetMode="External"/><Relationship Id="rId2" Type="http://schemas.openxmlformats.org/officeDocument/2006/relationships/hyperlink" Target="http://dszn-zoda.gov.ua/content/&#1087;&#1088;&#1077;&#1089;-&#1110;&#1085;&#1092;&#1086;&#1088;&#1084;&#1072;&#1094;&#1110;&#1103;-&#1076;&#1086;-&#1108;&#1074;&#1088;&#1086;&#1087;&#1077;&#1081;&#1089;&#1100;&#1082;&#1086;&#1075;&#1086;-&#1076;&#1085;&#1103;-&#1073;&#1086;&#1088;&#1086;&#1090;&#1100;&#1073;&#1080;-&#1079;-&#1090;&#1086;&#1088;&#1075;&#1110;&#1074;&#1083;&#1077;&#1102;-&#1083;&#1102;&#1076;&#1100;&#1084;&#1080;" TargetMode="External"/><Relationship Id="rId1" Type="http://schemas.openxmlformats.org/officeDocument/2006/relationships/hyperlink" Target="https://helsinki.org.ua/prava-lyudej-z-invalidnistyu-l-fursova/" TargetMode="External"/><Relationship Id="rId4" Type="http://schemas.openxmlformats.org/officeDocument/2006/relationships/hyperlink" Target="https://darn.kyivcity.gov.ua/news/221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27859</Words>
  <Characters>15880</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2020-05-10T09:37:00Z</dcterms:created>
  <dcterms:modified xsi:type="dcterms:W3CDTF">2020-05-10T10:33:00Z</dcterms:modified>
</cp:coreProperties>
</file>