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BC" w:rsidRDefault="006865BC" w:rsidP="00823B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11</w:t>
      </w:r>
    </w:p>
    <w:p w:rsidR="006865BC" w:rsidRDefault="00823B40" w:rsidP="00823B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23B40" w:rsidRDefault="006865BC" w:rsidP="006865BC">
      <w:pPr>
        <w:ind w:firstLine="708"/>
        <w:jc w:val="both"/>
        <w:rPr>
          <w:sz w:val="28"/>
          <w:szCs w:val="28"/>
          <w:lang w:val="uk-UA"/>
        </w:rPr>
      </w:pPr>
      <w:r w:rsidRPr="006865BC">
        <w:rPr>
          <w:b/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="00823B40">
        <w:rPr>
          <w:sz w:val="28"/>
          <w:szCs w:val="28"/>
          <w:lang w:val="uk-UA"/>
        </w:rPr>
        <w:t xml:space="preserve">Характеристика інсектицидів і </w:t>
      </w:r>
      <w:r>
        <w:rPr>
          <w:sz w:val="28"/>
          <w:szCs w:val="28"/>
          <w:lang w:val="uk-UA"/>
        </w:rPr>
        <w:t>акарицидів різних хімічних груп.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>
        <w:rPr>
          <w:sz w:val="28"/>
          <w:szCs w:val="28"/>
          <w:lang w:val="uk-UA"/>
        </w:rPr>
        <w:t>ознайомитися з хімічними засобами захисту рослин від шкідників; вивчити специфічні властивості та механізм дії інсектицидів і акарицидів різних хімічних груп; набути навичок у характеристиці окремих преп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ратів.</w:t>
      </w:r>
    </w:p>
    <w:p w:rsidR="00823B40" w:rsidRPr="00F76407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Матеріали та інструменти: „</w:t>
      </w:r>
      <w:r>
        <w:rPr>
          <w:sz w:val="28"/>
          <w:szCs w:val="28"/>
          <w:lang w:val="uk-UA"/>
        </w:rPr>
        <w:t>Перелік пестицидів і агрохімікатів,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зволених до використання в Україні</w:t>
      </w:r>
      <w:r w:rsidR="006865B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; альбом проспектів суча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них пестицидів; зразки інсектицидів і акарицидів різних хімі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них груп.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Загальні відомості. </w:t>
      </w:r>
      <w:r>
        <w:rPr>
          <w:sz w:val="28"/>
          <w:szCs w:val="28"/>
          <w:lang w:val="uk-UA"/>
        </w:rPr>
        <w:t>З метою захисту сільськогосподарських культур від шкідників на даний час в основному використовують органічні синтети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ні пестициди, що належать до різних класів хімічних сполук. Представники одного класу характеризуються загальними специфічними властивостями і, як правило, тим самим механізмом дії на організми.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 w:rsidRPr="00B92978">
        <w:rPr>
          <w:i/>
          <w:sz w:val="28"/>
          <w:szCs w:val="28"/>
          <w:lang w:val="uk-UA"/>
        </w:rPr>
        <w:t xml:space="preserve">Органічні сполуки фосфору, або фосфорорганічні </w:t>
      </w:r>
      <w:r w:rsidRPr="00B92978">
        <w:rPr>
          <w:sz w:val="28"/>
          <w:szCs w:val="28"/>
          <w:lang w:val="uk-UA"/>
        </w:rPr>
        <w:t>інсектициди</w:t>
      </w:r>
      <w:r>
        <w:rPr>
          <w:sz w:val="28"/>
          <w:szCs w:val="28"/>
          <w:lang w:val="uk-UA"/>
        </w:rPr>
        <w:t xml:space="preserve"> та ак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рициди є важливою групою сучасних пестицидів. Фосфорорганічні 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ди характеризуються: високою інсектицидною і акарицидною активністю;  широким спектром та швидкою (високою початковою токсичністю) і трив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лою (10-20 днів) дією на шкідника; малою стійкістю в біологічному серед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вищі і розкладом з утворенням нетоксичних для людини і тварин сполук; - відносно швидким метаболізмом в організмі тварин і помірними або відсу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німи кумулятивними властивостями; переважно системною дією препар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тів, а отже і меншою їх небезпекою для ентомофагів; помірною то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сичністю для риб. Фосфорорганічні препарати ефективні проти сисних і листогризучих шкідників. Окремі фосфорорганічні сполуки є високотоксичними для люд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ни і теплокровних тварин. 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умов тривалого застосування фосфорорганічних пестицидів відно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 швидко з</w:t>
      </w:r>
      <w:r w:rsidRPr="00EB30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являються стійкі популяції шкідників. Фосфорорганічні преп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рати знищують імаго і личинок, але неефективні проти яєць шкідника. 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Токсична дія фосфорорганічних пестицидів на шкідника зумовлена і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гібуванням активності холінестерази нервової системи, яка гідролізує ацет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лхолін, що утворюється  при передачі нервових імпульсів для руху від кліт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ни до клітини. Ознаки отруєння проявляються дуже швидко і виражаються в гіперактивації комахи та тремоті кінцівок, згодом настає параліч і смерть.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гибель шкідників спостерігається впродовж перших годин після обробки 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слин.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фосфорорганічних інсектицидів та інсектоакарицидів належать пр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парати: Актеллік, 50% к.е.; Акцент, 40% к.е.; Базудин, 60% в.е.; Бі-58 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вий, 40 %к.е.; Волатон, 50% к.е.; Діметрин, 40% к.е.; Діазинон, 60% к.е.; Дур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бан,  48% к.е.;Золон, 35% к.е.; Лебайцид, 50% к.е.; Пілот, 48% к.е.; Пірінекс,  40,8% к.е.; Рогор-С, 40% к.е.; Суміт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он, 50% к.е. та ін.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 w:rsidRPr="00ED4AA5">
        <w:rPr>
          <w:i/>
          <w:sz w:val="28"/>
          <w:szCs w:val="28"/>
          <w:lang w:val="uk-UA"/>
        </w:rPr>
        <w:t>Нітрофеноли</w:t>
      </w:r>
      <w:r>
        <w:rPr>
          <w:sz w:val="28"/>
          <w:szCs w:val="28"/>
          <w:lang w:val="uk-UA"/>
        </w:rPr>
        <w:t xml:space="preserve"> – пестициди, що володіють високою біологічною акти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ністю не лише до шкідників, але й до грибів, бактерій, зелених рослин. Ці препарати є сильнодіючими токсичними речовинами для людини і теплокр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вних тварин, високотоксичними для бджіл і риб, а тому їх використання на даний час є дуже обмеженим. Представник цієї групи </w:t>
      </w:r>
      <w:r>
        <w:rPr>
          <w:sz w:val="28"/>
          <w:szCs w:val="28"/>
          <w:lang w:val="uk-UA"/>
        </w:rPr>
        <w:lastRenderedPageBreak/>
        <w:t>пестицидів – преп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рат ДНОК, 40% р.п., що характеризується інсектоакарицидною і фунгіцидною контактною невибірковою дією і призначений для викорінюючого обприск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вання плодово-ягідних насаджень. 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 w:rsidRPr="00FB6C1E">
        <w:rPr>
          <w:i/>
          <w:sz w:val="28"/>
          <w:szCs w:val="28"/>
          <w:lang w:val="uk-UA"/>
        </w:rPr>
        <w:t xml:space="preserve">Синтетичні піретроїди </w:t>
      </w:r>
      <w:r>
        <w:rPr>
          <w:sz w:val="28"/>
          <w:szCs w:val="28"/>
          <w:lang w:val="uk-UA"/>
        </w:rPr>
        <w:t>– належать до „третього покоління інсектиц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дів”, це велика група сучасних інсектицидів, що дістала свою назву від стр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ктурної подібності та близькості за механізмом дії до природних піретринів. Синтетичні піретроїди характеризуються: низькими нормами витрати на одиницю площі; не проявляють токсичної дії на рослини; контактною і ки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>ковою дією на комах, а тому є високо небезпечними для ентомофагів, шир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ким спектром, тривалістю захисної дії – 10-14 днів; середньою і малою то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сичністю для людини і теплокровних тварин; високою стабільністю на сві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лі;  слабким переміщенням та розкладом у ґрунті впродовж 2-4 тижнів; максим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льною ефективністю в діапазоні температур 10-20°С. Препарати цієї групи ефективні проти лускокрилих, жуків, мух, а також паразитів тварин. При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дходженні в організм комах піретроїди виявляють вплив на нервову сист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му. Симптоми ураження – сильне збудження з наступним паралічем, часто сп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стерігається явище нокдауну. Інсектициди цієї групи порушують процеси обміну іонів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трію і калію в пресинаптичній мембрані, а також кальцію, що спричиняє виділення надлишку ацетилхоліну при проходженні нервового і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пульсу. За умов тривалого застосування синтетичних піретроїдів</w:t>
      </w:r>
      <w:r w:rsidRPr="00D155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EB30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являються стійкі популяції комах, при цьому спостерігається як групова, так і перехре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на сті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кість. 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синтетичних піретроїдів належать препарати: Альтекс, 10% к.е.; Альфагард, 10% к.е.; Децис Форте, 12,5% к.е.; Карате, 5% к.е.; Кінмікс,       5% к.е.; Фастак, 10% к.е.; Ф</w:t>
      </w:r>
      <w:r w:rsidRPr="004B57E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юрі, 10% в.е.; Циклон, 10% к.е.; Шерпа, 25% к.е.; Шт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фесін, 2,5% к.е.; Сумі-альфа, 5% к.е. та ін.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інсектицидів </w:t>
      </w:r>
      <w:r w:rsidRPr="00F83173">
        <w:rPr>
          <w:i/>
          <w:sz w:val="28"/>
          <w:szCs w:val="28"/>
          <w:lang w:val="uk-UA"/>
        </w:rPr>
        <w:t>нового покоління</w:t>
      </w:r>
      <w:r>
        <w:rPr>
          <w:sz w:val="28"/>
          <w:szCs w:val="28"/>
          <w:lang w:val="uk-UA"/>
        </w:rPr>
        <w:t xml:space="preserve"> належать препарати різних хімічних груп, таких як: </w:t>
      </w:r>
      <w:r w:rsidRPr="00A34C6E">
        <w:rPr>
          <w:i/>
          <w:sz w:val="28"/>
          <w:szCs w:val="28"/>
          <w:lang w:val="uk-UA"/>
        </w:rPr>
        <w:t>похідні нереїстоксинів</w:t>
      </w:r>
      <w:r>
        <w:rPr>
          <w:sz w:val="28"/>
          <w:szCs w:val="28"/>
          <w:lang w:val="uk-UA"/>
        </w:rPr>
        <w:t xml:space="preserve"> (препарат Банкол, 50% з.п.);  </w:t>
      </w:r>
      <w:r w:rsidRPr="00A34C6E">
        <w:rPr>
          <w:i/>
          <w:sz w:val="28"/>
          <w:szCs w:val="28"/>
          <w:lang w:val="uk-UA"/>
        </w:rPr>
        <w:t>неонік</w:t>
      </w:r>
      <w:r w:rsidRPr="00A34C6E">
        <w:rPr>
          <w:i/>
          <w:sz w:val="28"/>
          <w:szCs w:val="28"/>
          <w:lang w:val="uk-UA"/>
        </w:rPr>
        <w:t>о</w:t>
      </w:r>
      <w:r w:rsidRPr="00A34C6E">
        <w:rPr>
          <w:i/>
          <w:sz w:val="28"/>
          <w:szCs w:val="28"/>
          <w:lang w:val="uk-UA"/>
        </w:rPr>
        <w:t xml:space="preserve">тиноїди </w:t>
      </w:r>
      <w:r>
        <w:rPr>
          <w:sz w:val="28"/>
          <w:szCs w:val="28"/>
          <w:lang w:val="uk-UA"/>
        </w:rPr>
        <w:t xml:space="preserve">(Конфідор,  20% в.р.к.; Конфідор Максі, 70% в.г.; Бомбардир,       70% в.р.г.; Вектор, 20% в.р.г.; Зеніт, 20% в.р.к.; Інгавіт, 20% в.р.к.; Проагро, 10% в.р.к.; Ратибор, 20% в.р.к..); </w:t>
      </w:r>
      <w:r w:rsidRPr="00A34C6E">
        <w:rPr>
          <w:i/>
          <w:sz w:val="28"/>
          <w:szCs w:val="28"/>
          <w:lang w:val="uk-UA"/>
        </w:rPr>
        <w:t>похідні фенілпіразолів</w:t>
      </w:r>
      <w:r>
        <w:rPr>
          <w:sz w:val="28"/>
          <w:szCs w:val="28"/>
          <w:lang w:val="uk-UA"/>
        </w:rPr>
        <w:t xml:space="preserve"> (Регент, 80% в.г.); </w:t>
      </w:r>
      <w:r>
        <w:rPr>
          <w:i/>
          <w:sz w:val="28"/>
          <w:szCs w:val="28"/>
          <w:lang w:val="uk-UA"/>
        </w:rPr>
        <w:t>п</w:t>
      </w:r>
      <w:r>
        <w:rPr>
          <w:i/>
          <w:sz w:val="28"/>
          <w:szCs w:val="28"/>
          <w:lang w:val="uk-UA"/>
        </w:rPr>
        <w:t>о</w:t>
      </w:r>
      <w:r>
        <w:rPr>
          <w:i/>
          <w:sz w:val="28"/>
          <w:szCs w:val="28"/>
          <w:lang w:val="uk-UA"/>
        </w:rPr>
        <w:t xml:space="preserve">хідні амінокислот </w:t>
      </w:r>
      <w:r>
        <w:rPr>
          <w:sz w:val="28"/>
          <w:szCs w:val="28"/>
          <w:lang w:val="uk-UA"/>
        </w:rPr>
        <w:t xml:space="preserve">(Маврік, 22,3% ФЛО); </w:t>
      </w:r>
      <w:r w:rsidRPr="00E63E60">
        <w:rPr>
          <w:i/>
          <w:sz w:val="28"/>
          <w:szCs w:val="28"/>
          <w:lang w:val="uk-UA"/>
        </w:rPr>
        <w:t>похідні триазолів</w:t>
      </w:r>
      <w:r>
        <w:rPr>
          <w:sz w:val="28"/>
          <w:szCs w:val="28"/>
          <w:lang w:val="uk-UA"/>
        </w:rPr>
        <w:t xml:space="preserve"> (Мітак, 20% к.е.); </w:t>
      </w:r>
      <w:r w:rsidRPr="00A34C6E">
        <w:rPr>
          <w:i/>
          <w:sz w:val="28"/>
          <w:szCs w:val="28"/>
          <w:lang w:val="uk-UA"/>
        </w:rPr>
        <w:t>комбіновані інсектициди</w:t>
      </w:r>
      <w:r>
        <w:rPr>
          <w:sz w:val="28"/>
          <w:szCs w:val="28"/>
          <w:lang w:val="uk-UA"/>
        </w:rPr>
        <w:t xml:space="preserve"> (Нурел Д, 55% к.е.) та ін. Ці препарати характер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зуються високою ефективністю дії проти шкідливих об</w:t>
      </w:r>
      <w:r w:rsidRPr="00F8317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єктів, тривалою зах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сною дією, низькими нормами витрати на одиницю площі, досконалою пр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парати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ною формою, малою токсичністю для людини і теплокровних тварин, швидким розкладом у ґрунті, а за умов дотримання санітарно-гігієнічних 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гламентів застосування є безпечними для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вкілля.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Регулятори росту,</w:t>
      </w:r>
      <w:r w:rsidRPr="00E54CEB">
        <w:rPr>
          <w:i/>
          <w:sz w:val="28"/>
          <w:szCs w:val="28"/>
          <w:lang w:val="uk-UA"/>
        </w:rPr>
        <w:t xml:space="preserve"> розвитку</w:t>
      </w:r>
      <w:r>
        <w:rPr>
          <w:i/>
          <w:sz w:val="28"/>
          <w:szCs w:val="28"/>
          <w:lang w:val="uk-UA"/>
        </w:rPr>
        <w:t xml:space="preserve"> й  розмноження комах</w:t>
      </w:r>
      <w:r>
        <w:rPr>
          <w:sz w:val="28"/>
          <w:szCs w:val="28"/>
          <w:lang w:val="uk-UA"/>
        </w:rPr>
        <w:t xml:space="preserve"> (гормональні пр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парати) – хімічні  сполуки, що відрізняються за структурою від природних гормонів комах, але імітують їх біологічну активність. Практичне застос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вання в захисті рослин отримали: ювеноїди (аналоги ювенільного гормону) (препарат Інсегар, 25% з.п.) та інгібітори синтезу хітину (Номолт, 15% к.с.; Сонет, 10% к.е.). Характерною особливістю усіх регуляторів 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сту, розвитку й розмноження комах є відсутність у них прямого токсичного ефекту. Вони не отруюють організм, але порушують послідовність процесів онтогенезу, у зв</w:t>
      </w:r>
      <w:r w:rsidRPr="00A611A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язку з чим спостерігається вповільнений ефект дії. Ювеноїди зумовлюють порушення метаморфозу, </w:t>
      </w:r>
      <w:r>
        <w:rPr>
          <w:sz w:val="28"/>
          <w:szCs w:val="28"/>
          <w:lang w:val="uk-UA"/>
        </w:rPr>
        <w:lastRenderedPageBreak/>
        <w:t>ембріогенезу, функціонування репродуктивної си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теми комах. Типовою реакцією на обробку ювеноїдами є утворення промі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них личинково-лялечкових, або лялечково-імагональних форм, спотворених імаго. Інгібітори синтезу хітину порушують формування кутикули комах у процесі линьки. Типовою реакцією на обробку є загибель комах, що настає при підгот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вці до линьки або в її процесі. У комах, що линяють, починається відшар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вання старої кутикули, але не завершується утворення нової, відсутні процеси склеротизації, часто спостерігається розрив покривів, витікання г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молі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фи.</w:t>
      </w:r>
    </w:p>
    <w:p w:rsidR="00823B40" w:rsidRDefault="00823B40" w:rsidP="00823B40">
      <w:pPr>
        <w:ind w:firstLine="708"/>
        <w:jc w:val="both"/>
        <w:rPr>
          <w:sz w:val="28"/>
          <w:szCs w:val="28"/>
          <w:lang w:val="uk-UA"/>
        </w:rPr>
      </w:pPr>
      <w:r w:rsidRPr="00903CF7">
        <w:rPr>
          <w:i/>
          <w:sz w:val="28"/>
          <w:szCs w:val="28"/>
          <w:lang w:val="uk-UA"/>
        </w:rPr>
        <w:t>Специфічні акарициди</w:t>
      </w:r>
      <w:r>
        <w:rPr>
          <w:sz w:val="28"/>
          <w:szCs w:val="28"/>
          <w:lang w:val="uk-UA"/>
        </w:rPr>
        <w:t>. До них належать синтетичні органічні сполуки  різних хімічних груп, що знищують рослиноїдних  кліщів на всіх стадіях їх розвитку. Характерна особливість цих препаратів – тривала захисна дія. Сп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цифічні акарициди середньо – та малотоксичні для людини і теплокровних тварин. До них належать препарати: Апполо, 50% к.с.; Демітан, 20% к.с.;  Омайт, 30% з.п.; Омайт, 57% к.е.; Омайт, 57% в.е.; Ортус, 50% к.с.; Са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майт, 20% з.п.; Флумайт  200, 20% к.с. та ін.   </w:t>
      </w:r>
    </w:p>
    <w:p w:rsidR="00823B40" w:rsidRDefault="00823B40" w:rsidP="00823B40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Використовуючи „Перелік пестицидів і агрохімікатів, дозволених до вик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ристання в Україні” та альбом проспектів сучасних пестицидів</w:t>
      </w:r>
      <w:r w:rsidRPr="000E7B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тися з хімічними засобами захисту рослин від шк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дників.  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Розглянути зразки інсектицидів і акарицидів різних хімічних груп, вивчити їх властивості та механізм дії.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Дати письмові відповіді на питання для самоконтролю.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Заповнити таблиці </w:t>
      </w:r>
      <w:r w:rsidR="006865B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і </w:t>
      </w:r>
      <w:r w:rsidR="006865B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823B40" w:rsidRDefault="00823B40" w:rsidP="00823B40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Які основні характеристики та механізм дії фосфорорганічних препаратів?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Якими властивостями характеризуються препарати групи нітрофенолів?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Які основні характеристики та механізм дії синтетичних піретроїдів?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Які властивості характерні для препаратів нового покоління?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Які препарати належать до регуляторів росту і розвитку комах, їх основні характерист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ки?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Які препарати належать до специфічних акарицидів, їх основні характер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стики?</w:t>
      </w: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823B40" w:rsidP="00823B40">
      <w:pPr>
        <w:jc w:val="both"/>
        <w:rPr>
          <w:sz w:val="28"/>
          <w:szCs w:val="28"/>
          <w:lang w:val="uk-UA"/>
        </w:rPr>
      </w:pPr>
    </w:p>
    <w:p w:rsidR="00823B40" w:rsidRDefault="006865BC" w:rsidP="00823B4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:rsidR="00823B40" w:rsidRDefault="00823B40" w:rsidP="00823B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інсектицидів різних хімічних груп</w:t>
      </w:r>
    </w:p>
    <w:p w:rsidR="00823B40" w:rsidRDefault="00823B40" w:rsidP="00823B40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69"/>
        <w:gridCol w:w="986"/>
        <w:gridCol w:w="2520"/>
        <w:gridCol w:w="2880"/>
        <w:gridCol w:w="1260"/>
        <w:gridCol w:w="1980"/>
        <w:gridCol w:w="1260"/>
        <w:gridCol w:w="818"/>
      </w:tblGrid>
      <w:tr w:rsidR="00823B40" w:rsidRPr="00A34717" w:rsidTr="00F12D47">
        <w:tc>
          <w:tcPr>
            <w:tcW w:w="1613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Назва пр</w:t>
            </w:r>
            <w:r w:rsidRPr="00A34717">
              <w:rPr>
                <w:sz w:val="28"/>
                <w:szCs w:val="28"/>
                <w:lang w:val="uk-UA"/>
              </w:rPr>
              <w:t>е</w:t>
            </w:r>
            <w:r w:rsidRPr="00A34717">
              <w:rPr>
                <w:sz w:val="28"/>
                <w:szCs w:val="28"/>
                <w:lang w:val="uk-UA"/>
              </w:rPr>
              <w:t>парату, препарат</w:t>
            </w:r>
            <w:r w:rsidRPr="00A34717">
              <w:rPr>
                <w:sz w:val="28"/>
                <w:szCs w:val="28"/>
                <w:lang w:val="uk-UA"/>
              </w:rPr>
              <w:t>и</w:t>
            </w:r>
            <w:r w:rsidRPr="00A34717">
              <w:rPr>
                <w:sz w:val="28"/>
                <w:szCs w:val="28"/>
                <w:lang w:val="uk-UA"/>
              </w:rPr>
              <w:t>вна форма</w:t>
            </w:r>
          </w:p>
        </w:tc>
        <w:tc>
          <w:tcPr>
            <w:tcW w:w="1469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Діюча р</w:t>
            </w:r>
            <w:r w:rsidRPr="00A34717">
              <w:rPr>
                <w:sz w:val="28"/>
                <w:szCs w:val="28"/>
                <w:lang w:val="uk-UA"/>
              </w:rPr>
              <w:t>е</w:t>
            </w:r>
            <w:r w:rsidRPr="00A34717">
              <w:rPr>
                <w:sz w:val="28"/>
                <w:szCs w:val="28"/>
                <w:lang w:val="uk-UA"/>
              </w:rPr>
              <w:t>човина та її вміст</w:t>
            </w:r>
          </w:p>
        </w:tc>
        <w:tc>
          <w:tcPr>
            <w:tcW w:w="986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Група то</w:t>
            </w:r>
            <w:r w:rsidRPr="00A34717">
              <w:rPr>
                <w:sz w:val="28"/>
                <w:szCs w:val="28"/>
                <w:lang w:val="uk-UA"/>
              </w:rPr>
              <w:t>к</w:t>
            </w:r>
            <w:r w:rsidRPr="00A34717">
              <w:rPr>
                <w:sz w:val="28"/>
                <w:szCs w:val="28"/>
                <w:lang w:val="uk-UA"/>
              </w:rPr>
              <w:t>си</w:t>
            </w:r>
            <w:r w:rsidRPr="00A34717">
              <w:rPr>
                <w:sz w:val="28"/>
                <w:szCs w:val="28"/>
                <w:lang w:val="uk-UA"/>
              </w:rPr>
              <w:t>ч</w:t>
            </w:r>
            <w:r w:rsidRPr="00A34717">
              <w:rPr>
                <w:sz w:val="28"/>
                <w:szCs w:val="28"/>
                <w:lang w:val="uk-UA"/>
              </w:rPr>
              <w:t>ності</w:t>
            </w:r>
          </w:p>
        </w:tc>
        <w:tc>
          <w:tcPr>
            <w:tcW w:w="2520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Культури,</w:t>
            </w:r>
          </w:p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на яких </w:t>
            </w:r>
          </w:p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застосовуєт</w:t>
            </w:r>
            <w:r w:rsidRPr="00A34717">
              <w:rPr>
                <w:sz w:val="28"/>
                <w:szCs w:val="28"/>
                <w:lang w:val="uk-UA"/>
              </w:rPr>
              <w:t>ь</w:t>
            </w:r>
            <w:r w:rsidRPr="00A34717">
              <w:rPr>
                <w:sz w:val="28"/>
                <w:szCs w:val="28"/>
                <w:lang w:val="uk-UA"/>
              </w:rPr>
              <w:t>ся</w:t>
            </w:r>
          </w:p>
        </w:tc>
        <w:tc>
          <w:tcPr>
            <w:tcW w:w="2880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Шкідники,</w:t>
            </w:r>
          </w:p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 проти яких </w:t>
            </w:r>
          </w:p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застосовуєт</w:t>
            </w:r>
            <w:r w:rsidRPr="00A34717">
              <w:rPr>
                <w:sz w:val="28"/>
                <w:szCs w:val="28"/>
                <w:lang w:val="uk-UA"/>
              </w:rPr>
              <w:t>ь</w:t>
            </w:r>
            <w:r w:rsidRPr="00A34717">
              <w:rPr>
                <w:sz w:val="28"/>
                <w:szCs w:val="28"/>
                <w:lang w:val="uk-UA"/>
              </w:rPr>
              <w:t>ся</w:t>
            </w: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Норма витрати, кг/га, л/га</w:t>
            </w:r>
          </w:p>
        </w:tc>
        <w:tc>
          <w:tcPr>
            <w:tcW w:w="1980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Характер </w:t>
            </w:r>
          </w:p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токси</w:t>
            </w:r>
            <w:r w:rsidRPr="00A34717">
              <w:rPr>
                <w:sz w:val="28"/>
                <w:szCs w:val="28"/>
                <w:lang w:val="uk-UA"/>
              </w:rPr>
              <w:t>ч</w:t>
            </w:r>
            <w:r w:rsidRPr="00A34717">
              <w:rPr>
                <w:sz w:val="28"/>
                <w:szCs w:val="28"/>
                <w:lang w:val="uk-UA"/>
              </w:rPr>
              <w:t>ної дії на шкідн</w:t>
            </w:r>
            <w:r w:rsidRPr="00A34717">
              <w:rPr>
                <w:sz w:val="28"/>
                <w:szCs w:val="28"/>
                <w:lang w:val="uk-UA"/>
              </w:rPr>
              <w:t>и</w:t>
            </w:r>
            <w:r w:rsidRPr="00A34717">
              <w:rPr>
                <w:sz w:val="28"/>
                <w:szCs w:val="28"/>
                <w:lang w:val="uk-UA"/>
              </w:rPr>
              <w:t>ків</w:t>
            </w: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Макс</w:t>
            </w:r>
            <w:r w:rsidRPr="00A34717">
              <w:rPr>
                <w:sz w:val="28"/>
                <w:szCs w:val="28"/>
                <w:lang w:val="uk-UA"/>
              </w:rPr>
              <w:t>и</w:t>
            </w:r>
            <w:r w:rsidRPr="00A34717">
              <w:rPr>
                <w:sz w:val="28"/>
                <w:szCs w:val="28"/>
                <w:lang w:val="uk-UA"/>
              </w:rPr>
              <w:t>мальна кіл</w:t>
            </w:r>
            <w:r w:rsidRPr="00A34717">
              <w:rPr>
                <w:sz w:val="28"/>
                <w:szCs w:val="28"/>
                <w:lang w:val="uk-UA"/>
              </w:rPr>
              <w:t>ь</w:t>
            </w:r>
            <w:r w:rsidRPr="00A34717">
              <w:rPr>
                <w:sz w:val="28"/>
                <w:szCs w:val="28"/>
                <w:lang w:val="uk-UA"/>
              </w:rPr>
              <w:t>кість обр</w:t>
            </w:r>
            <w:r w:rsidRPr="00A34717">
              <w:rPr>
                <w:sz w:val="28"/>
                <w:szCs w:val="28"/>
                <w:lang w:val="uk-UA"/>
              </w:rPr>
              <w:t>о</w:t>
            </w:r>
            <w:r w:rsidRPr="00A34717">
              <w:rPr>
                <w:sz w:val="28"/>
                <w:szCs w:val="28"/>
                <w:lang w:val="uk-UA"/>
              </w:rPr>
              <w:t>бок</w:t>
            </w:r>
          </w:p>
        </w:tc>
        <w:tc>
          <w:tcPr>
            <w:tcW w:w="818" w:type="dxa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</w:t>
            </w:r>
            <w:r w:rsidRPr="00A34717">
              <w:rPr>
                <w:sz w:val="28"/>
                <w:szCs w:val="28"/>
                <w:lang w:val="uk-UA"/>
              </w:rPr>
              <w:t>е</w:t>
            </w:r>
            <w:r w:rsidRPr="00A34717">
              <w:rPr>
                <w:sz w:val="28"/>
                <w:szCs w:val="28"/>
                <w:lang w:val="uk-UA"/>
              </w:rPr>
              <w:t>ріод оч</w:t>
            </w:r>
            <w:r w:rsidRPr="00A34717">
              <w:rPr>
                <w:sz w:val="28"/>
                <w:szCs w:val="28"/>
                <w:lang w:val="uk-UA"/>
              </w:rPr>
              <w:t>і</w:t>
            </w:r>
            <w:r w:rsidRPr="00A34717">
              <w:rPr>
                <w:sz w:val="28"/>
                <w:szCs w:val="28"/>
                <w:lang w:val="uk-UA"/>
              </w:rPr>
              <w:t>к</w:t>
            </w:r>
            <w:r w:rsidRPr="00A34717">
              <w:rPr>
                <w:sz w:val="28"/>
                <w:szCs w:val="28"/>
                <w:lang w:val="uk-UA"/>
              </w:rPr>
              <w:t>у</w:t>
            </w:r>
            <w:r w:rsidRPr="00A34717">
              <w:rPr>
                <w:sz w:val="28"/>
                <w:szCs w:val="28"/>
                <w:lang w:val="uk-UA"/>
              </w:rPr>
              <w:t>ва</w:t>
            </w:r>
            <w:r w:rsidRPr="00A34717">
              <w:rPr>
                <w:sz w:val="28"/>
                <w:szCs w:val="28"/>
                <w:lang w:val="uk-UA"/>
              </w:rPr>
              <w:t>н</w:t>
            </w:r>
            <w:r w:rsidRPr="00A34717">
              <w:rPr>
                <w:sz w:val="28"/>
                <w:szCs w:val="28"/>
                <w:lang w:val="uk-UA"/>
              </w:rPr>
              <w:t>ня</w:t>
            </w:r>
          </w:p>
        </w:tc>
      </w:tr>
      <w:tr w:rsidR="00823B40" w:rsidRPr="00A34717" w:rsidTr="00F12D47">
        <w:tc>
          <w:tcPr>
            <w:tcW w:w="14786" w:type="dxa"/>
            <w:gridSpan w:val="9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Фосфорорганічні</w:t>
            </w:r>
          </w:p>
        </w:tc>
      </w:tr>
      <w:tr w:rsidR="00823B40" w:rsidRPr="00A34717" w:rsidTr="00F12D47">
        <w:trPr>
          <w:trHeight w:val="1027"/>
        </w:trPr>
        <w:tc>
          <w:tcPr>
            <w:tcW w:w="1613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3B40" w:rsidRPr="00A34717" w:rsidTr="00F12D47">
        <w:tc>
          <w:tcPr>
            <w:tcW w:w="14786" w:type="dxa"/>
            <w:gridSpan w:val="9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Нітрофеноли</w:t>
            </w:r>
          </w:p>
        </w:tc>
      </w:tr>
      <w:tr w:rsidR="00823B40" w:rsidRPr="00A34717" w:rsidTr="00F12D47">
        <w:trPr>
          <w:trHeight w:val="389"/>
        </w:trPr>
        <w:tc>
          <w:tcPr>
            <w:tcW w:w="1613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3B40" w:rsidRPr="00A34717" w:rsidTr="00F12D47">
        <w:tc>
          <w:tcPr>
            <w:tcW w:w="14786" w:type="dxa"/>
            <w:gridSpan w:val="9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Синтетичні піретроїди</w:t>
            </w:r>
          </w:p>
        </w:tc>
      </w:tr>
      <w:tr w:rsidR="00823B40" w:rsidRPr="00A34717" w:rsidTr="00F12D47">
        <w:trPr>
          <w:trHeight w:val="726"/>
        </w:trPr>
        <w:tc>
          <w:tcPr>
            <w:tcW w:w="1613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3B40" w:rsidRPr="00A34717" w:rsidTr="00F12D47">
        <w:tc>
          <w:tcPr>
            <w:tcW w:w="14786" w:type="dxa"/>
            <w:gridSpan w:val="9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Інсектициди нового покоління</w:t>
            </w:r>
          </w:p>
        </w:tc>
      </w:tr>
      <w:tr w:rsidR="00823B40" w:rsidRPr="00A34717" w:rsidTr="00F12D47">
        <w:trPr>
          <w:trHeight w:val="922"/>
        </w:trPr>
        <w:tc>
          <w:tcPr>
            <w:tcW w:w="1613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3B40" w:rsidRPr="00A34717" w:rsidTr="00F12D47">
        <w:tc>
          <w:tcPr>
            <w:tcW w:w="14786" w:type="dxa"/>
            <w:gridSpan w:val="9"/>
          </w:tcPr>
          <w:p w:rsidR="00823B40" w:rsidRPr="00A34717" w:rsidRDefault="00823B40" w:rsidP="00F12D47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Регулятори росту, розвитку й розмноження комах</w:t>
            </w:r>
          </w:p>
        </w:tc>
      </w:tr>
      <w:tr w:rsidR="00823B40" w:rsidRPr="00A34717" w:rsidTr="00F12D47">
        <w:trPr>
          <w:trHeight w:val="1098"/>
        </w:trPr>
        <w:tc>
          <w:tcPr>
            <w:tcW w:w="1613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23B40" w:rsidRDefault="00823B40" w:rsidP="00823B40">
      <w:pPr>
        <w:jc w:val="both"/>
        <w:rPr>
          <w:sz w:val="28"/>
          <w:szCs w:val="28"/>
          <w:lang w:val="uk-UA"/>
        </w:rPr>
        <w:sectPr w:rsidR="00823B40" w:rsidSect="006865BC">
          <w:type w:val="continuous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823B40" w:rsidRDefault="00823B40" w:rsidP="00823B4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Таблиця </w:t>
      </w:r>
      <w:r w:rsidR="006865BC">
        <w:rPr>
          <w:sz w:val="28"/>
          <w:szCs w:val="28"/>
          <w:lang w:val="uk-UA"/>
        </w:rPr>
        <w:t>2</w:t>
      </w:r>
    </w:p>
    <w:p w:rsidR="00823B40" w:rsidRDefault="00823B40" w:rsidP="00823B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специфічних акарицидів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080"/>
        <w:gridCol w:w="1440"/>
        <w:gridCol w:w="1080"/>
        <w:gridCol w:w="1260"/>
        <w:gridCol w:w="900"/>
        <w:gridCol w:w="1080"/>
      </w:tblGrid>
      <w:tr w:rsidR="00823B40" w:rsidRPr="00A34717" w:rsidTr="00F12D47">
        <w:tc>
          <w:tcPr>
            <w:tcW w:w="136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Назва препара-ту,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препара-тивна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Діюча речови-на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та її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вміст</w:t>
            </w:r>
          </w:p>
        </w:tc>
        <w:tc>
          <w:tcPr>
            <w:tcW w:w="10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Група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ток-сич-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ності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Культура,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на якій 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застосо-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вується</w:t>
            </w:r>
          </w:p>
        </w:tc>
        <w:tc>
          <w:tcPr>
            <w:tcW w:w="10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Норма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ви</w:t>
            </w:r>
            <w:r w:rsidRPr="00A34717">
              <w:rPr>
                <w:sz w:val="28"/>
                <w:szCs w:val="28"/>
                <w:lang w:val="uk-UA"/>
              </w:rPr>
              <w:t>т</w:t>
            </w:r>
            <w:r w:rsidRPr="00A34717">
              <w:rPr>
                <w:sz w:val="28"/>
                <w:szCs w:val="28"/>
                <w:lang w:val="uk-UA"/>
              </w:rPr>
              <w:t>ра-ти,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кг/га,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л/га</w:t>
            </w: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Харак-тер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то</w:t>
            </w:r>
            <w:r w:rsidRPr="00A34717">
              <w:rPr>
                <w:sz w:val="28"/>
                <w:szCs w:val="28"/>
                <w:lang w:val="uk-UA"/>
              </w:rPr>
              <w:t>к</w:t>
            </w:r>
            <w:r w:rsidRPr="00A34717">
              <w:rPr>
                <w:sz w:val="28"/>
                <w:szCs w:val="28"/>
                <w:lang w:val="uk-UA"/>
              </w:rPr>
              <w:t>сич-ної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дії на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шкідни-ка</w:t>
            </w:r>
          </w:p>
        </w:tc>
        <w:tc>
          <w:tcPr>
            <w:tcW w:w="90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Крат-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ність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обро-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бок</w:t>
            </w:r>
          </w:p>
        </w:tc>
        <w:tc>
          <w:tcPr>
            <w:tcW w:w="10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Період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оч</w:t>
            </w:r>
            <w:r w:rsidRPr="00A34717">
              <w:rPr>
                <w:sz w:val="28"/>
                <w:szCs w:val="28"/>
                <w:lang w:val="uk-UA"/>
              </w:rPr>
              <w:t>і</w:t>
            </w:r>
            <w:r w:rsidRPr="00A34717">
              <w:rPr>
                <w:sz w:val="28"/>
                <w:szCs w:val="28"/>
                <w:lang w:val="uk-UA"/>
              </w:rPr>
              <w:t>ку-</w:t>
            </w:r>
          </w:p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вання</w:t>
            </w:r>
          </w:p>
        </w:tc>
      </w:tr>
      <w:tr w:rsidR="00823B40" w:rsidRPr="00A34717" w:rsidTr="00F12D47">
        <w:trPr>
          <w:trHeight w:val="637"/>
        </w:trPr>
        <w:tc>
          <w:tcPr>
            <w:tcW w:w="1368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823B40" w:rsidRPr="00A34717" w:rsidRDefault="00823B40" w:rsidP="00F12D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23B40" w:rsidRDefault="00823B40" w:rsidP="00823B40">
      <w:pPr>
        <w:jc w:val="both"/>
        <w:rPr>
          <w:b/>
          <w:sz w:val="28"/>
          <w:szCs w:val="28"/>
          <w:lang w:val="uk-UA"/>
        </w:rPr>
      </w:pPr>
    </w:p>
    <w:p w:rsidR="00CA46AE" w:rsidRDefault="00CA46AE" w:rsidP="00823B40">
      <w:bookmarkStart w:id="0" w:name="_GoBack"/>
      <w:bookmarkEnd w:id="0"/>
    </w:p>
    <w:sectPr w:rsidR="00CA4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7"/>
    <w:rsid w:val="00486507"/>
    <w:rsid w:val="006865BC"/>
    <w:rsid w:val="00823B40"/>
    <w:rsid w:val="00C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4B39"/>
  <w15:chartTrackingRefBased/>
  <w15:docId w15:val="{22DAD288-39BC-4116-B841-164F634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5753</Words>
  <Characters>3280</Characters>
  <Application>Microsoft Office Word</Application>
  <DocSecurity>0</DocSecurity>
  <Lines>27</Lines>
  <Paragraphs>18</Paragraphs>
  <ScaleCrop>false</ScaleCrop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3</cp:revision>
  <dcterms:created xsi:type="dcterms:W3CDTF">2020-08-26T15:25:00Z</dcterms:created>
  <dcterms:modified xsi:type="dcterms:W3CDTF">2020-08-26T15:27:00Z</dcterms:modified>
</cp:coreProperties>
</file>