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63" w:rsidRDefault="00345B63" w:rsidP="00345B6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10.</w:t>
      </w:r>
    </w:p>
    <w:p w:rsidR="00345B63" w:rsidRDefault="00345B63" w:rsidP="00345B6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B63">
        <w:rPr>
          <w:rFonts w:ascii="Times New Roman" w:hAnsi="Times New Roman" w:cs="Times New Roman"/>
          <w:b/>
          <w:sz w:val="24"/>
          <w:szCs w:val="24"/>
        </w:rPr>
        <w:t xml:space="preserve">Адвокат у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5B63" w:rsidRDefault="00345B63" w:rsidP="00345B6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B63">
        <w:rPr>
          <w:rFonts w:ascii="Times New Roman" w:hAnsi="Times New Roman" w:cs="Times New Roman"/>
          <w:b/>
          <w:sz w:val="24"/>
          <w:szCs w:val="24"/>
        </w:rPr>
        <w:t xml:space="preserve">План. </w:t>
      </w:r>
    </w:p>
    <w:p w:rsidR="00345B63" w:rsidRDefault="00345B63" w:rsidP="00345B6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B6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Особливості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судового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5B63" w:rsidRDefault="00345B63" w:rsidP="00345B6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5B6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Повноваження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адвоката у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45B63" w:rsidRDefault="00345B63" w:rsidP="00345B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45B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Особливості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 xml:space="preserve"> судового </w:t>
      </w:r>
      <w:proofErr w:type="spellStart"/>
      <w:r w:rsidRPr="00345B63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Pr="00345B63">
        <w:rPr>
          <w:rFonts w:ascii="Times New Roman" w:hAnsi="Times New Roman" w:cs="Times New Roman"/>
          <w:b/>
          <w:sz w:val="24"/>
          <w:szCs w:val="24"/>
        </w:rPr>
        <w:t>.</w:t>
      </w:r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B63" w:rsidRDefault="00345B63" w:rsidP="00345B6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1763" w:rsidRPr="00345B63" w:rsidRDefault="00345B63" w:rsidP="00345B63">
      <w:pPr>
        <w:jc w:val="both"/>
        <w:rPr>
          <w:rFonts w:ascii="Times New Roman" w:hAnsi="Times New Roman" w:cs="Times New Roman"/>
          <w:sz w:val="24"/>
          <w:szCs w:val="24"/>
        </w:rPr>
      </w:pPr>
      <w:r w:rsidRPr="00345B6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3 КАСУ справа адміністративної юрисдикції – переданий на вирішення адміністративного суду публічно-правовий спір, у якому хоча б однією із сторін є орган виконавчої влади, орган місцевого самоврядування, їхня посадова чи службова особа або інший суб’єкт, який здійснює владні управлінські функції на основі законодавства, в тому числі на виконання делегованих повноважень.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судочинства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прав, свобод,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публічно-правових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боку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службових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здійсненні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ними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делегованих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судах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оскаржені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будь-які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бездіяльність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бездіяльності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законами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порядок судового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судочинство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будується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 принципах,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притаманних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цивільному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судочинству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: 1) верховенство права; 2)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законність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івність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перед законом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судом; 4)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змагальність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диспозитивність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офіційне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з'ясування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; 5)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гласність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; 6)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апеляційного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касаційного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суду; 7)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обов’язковість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Для адвоката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ст. 17 КАСУ, де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юрисдикцію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ідсудність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:  спори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суб’єктом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бездіяльності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;  спори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приводу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публічну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службу,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;  </w:t>
      </w:r>
      <w:proofErr w:type="gramStart"/>
      <w:r w:rsidRPr="00345B63">
        <w:rPr>
          <w:rFonts w:ascii="Times New Roman" w:hAnsi="Times New Roman" w:cs="Times New Roman"/>
          <w:sz w:val="24"/>
          <w:szCs w:val="24"/>
        </w:rPr>
        <w:t xml:space="preserve">спори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приводу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їхньої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делегованих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спори,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приводу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;  спори за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зверненням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суб’єкта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>,</w:t>
      </w:r>
      <w:r w:rsidRPr="00345B6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законом;  спори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правовідносин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виборчим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>.</w:t>
      </w:r>
      <w:r w:rsidRPr="00345B63">
        <w:rPr>
          <w:rFonts w:ascii="Times New Roman" w:hAnsi="Times New Roman" w:cs="Times New Roman"/>
          <w:sz w:val="24"/>
          <w:szCs w:val="24"/>
        </w:rPr>
        <w:sym w:font="Symbol" w:char="F0B7"/>
      </w:r>
      <w:r w:rsidRPr="00345B63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судочинстві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 ст. 56 КАСУ сторона, 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третя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особа в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адміністративній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особисто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B63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B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закону.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 ст. 58 КАСУ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підтверджені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довіреністю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усною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довірителя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занесенням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 журналу судового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Оригінали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довіреностей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них,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засвідчені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ідписом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судді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приєднуються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судом </w:t>
      </w:r>
      <w:r w:rsidRPr="00345B63">
        <w:rPr>
          <w:rFonts w:ascii="Times New Roman" w:hAnsi="Times New Roman" w:cs="Times New Roman"/>
          <w:sz w:val="24"/>
          <w:szCs w:val="24"/>
        </w:rPr>
        <w:lastRenderedPageBreak/>
        <w:t xml:space="preserve">до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адвоката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посвідчуватись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ордером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договором про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Участь адвоката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судочинстві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позивача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відповідача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уявляється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принципово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новою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перспективною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лінією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Особливо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 те,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кожне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суду про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прав,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порушених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чиновником, автоматично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преюдиціальним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підґрунтям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позовом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заподіяних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Адвокати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ретельно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вивчати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справ 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засувати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B6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майбутньої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в них.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вчиняти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особи, яку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представля</w:t>
      </w:r>
      <w:proofErr w:type="gramStart"/>
      <w:r w:rsidRPr="00345B6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процесуальні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вчинити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особа.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чинні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строк не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B6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дов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іреності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Адміністративний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реальним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учасником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організаційної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Звідси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ідвищена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адвоката,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доведеться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участь у справах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неправильне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відіб’ється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органу –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спору.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адвоката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ідготовки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справ.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Адміністративна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справа повинна бути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розглянута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апеляційне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– 20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Касаційна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набрання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5B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5B63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апеляційного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законної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B6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345B63">
        <w:rPr>
          <w:rFonts w:ascii="Times New Roman" w:hAnsi="Times New Roman" w:cs="Times New Roman"/>
          <w:sz w:val="24"/>
          <w:szCs w:val="24"/>
        </w:rPr>
        <w:t>.</w:t>
      </w:r>
    </w:p>
    <w:sectPr w:rsidR="00A31763" w:rsidRPr="0034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45B63"/>
    <w:rsid w:val="00345B63"/>
    <w:rsid w:val="00A3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2020-09-01T16:49:00Z</dcterms:created>
  <dcterms:modified xsi:type="dcterms:W3CDTF">2020-09-01T16:50:00Z</dcterms:modified>
</cp:coreProperties>
</file>