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74" w:rsidRPr="00304B74" w:rsidRDefault="00304B74" w:rsidP="00304B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СУЧАСНІ МЕДІА ТА ІНФОРМАЦІЙНІ ВІЙНИ</w:t>
      </w:r>
    </w:p>
    <w:bookmarkEnd w:id="0"/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304B7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теорії комунікації, реклами та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зв’язків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з громадськістю, 2-й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219 (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</w:t>
      </w:r>
      <w:r w:rsidRPr="00304B7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>й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04B7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304B7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304B74">
        <w:rPr>
          <w:rFonts w:ascii="Times New Roman" w:eastAsia="MS Mincho" w:hAnsi="Times New Roman" w:cs="Times New Roman"/>
          <w:i/>
          <w:sz w:val="24"/>
          <w:szCs w:val="24"/>
        </w:rPr>
        <w:t>(061) 289-12-17 (кафедра), 289-41-11 (деканат)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304B7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304B7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304B7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https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://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www.facebook.com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/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iryna.bondarenko.71404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304B74" w:rsidRPr="00304B74" w:rsidTr="003E393F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Інформаційна діяльність у бізнесі, політиці та державному управлінні; Бакалавр</w:t>
            </w:r>
          </w:p>
        </w:tc>
      </w:tr>
      <w:tr w:rsidR="00304B74" w:rsidRPr="00304B74" w:rsidTr="003E393F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304B74" w:rsidRPr="00304B74" w:rsidTr="003E393F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Кредити </w:t>
            </w:r>
            <w:proofErr w:type="spellStart"/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04B74" w:rsidRPr="00304B74" w:rsidTr="003E393F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304B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304B7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304B7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80</w:t>
            </w:r>
          </w:p>
        </w:tc>
      </w:tr>
      <w:tr w:rsidR="00304B74" w:rsidRPr="00304B74" w:rsidTr="003E393F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</w:t>
              </w:r>
              <w:proofErr w:type="spellEnd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proofErr w:type="spellStart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moodle.znu.edu.ua</w:t>
              </w:r>
              <w:proofErr w:type="spellEnd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course</w:t>
              </w:r>
              <w:proofErr w:type="spellEnd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view.php?id</w:t>
              </w:r>
              <w:proofErr w:type="spellEnd"/>
              <w:r w:rsidRPr="00304B7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=1001</w:t>
              </w:r>
            </w:hyperlink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4B74" w:rsidRPr="00304B74" w:rsidTr="003E393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304B7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щовівторка, 11.00 до 13.00, </w:t>
            </w:r>
            <w:proofErr w:type="spellStart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корпус, </w:t>
            </w:r>
            <w:proofErr w:type="spellStart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219., за попередньою домовленістю, </w:t>
            </w:r>
            <w:proofErr w:type="spellStart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04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304B74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 xml:space="preserve">меті </w:t>
      </w:r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формування у майбутніх фахівців знань щодо організації й діяльності органів державної влади, центрального й місцевого управління стосовно захисту інформації й інформаційної безпеки суспільства, ознайомити студентів з тенденціями розвитку інформаційного простору України. Курс має на меті подати аналіз функціонування основних складових інформаційного простору (ЗМІ, архівний, бібліотечний, кінематографічний комплекси, телекомунікаційні системи), пояснити сутність системи забезпечення інформаційної безпеки України.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впроваджувати здобуті знання у практику </w:t>
      </w:r>
      <w:proofErr w:type="spellStart"/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медіаменеджменту</w:t>
      </w:r>
      <w:proofErr w:type="spellEnd"/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здійснювати пошук необхідної інформації в аналітичних онлайн-системах; аналізувати ефективність державних програм щодо розвитку інформаційної сфери; здійснювати </w:t>
      </w:r>
      <w:proofErr w:type="spellStart"/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медіамоніторинг</w:t>
      </w:r>
      <w:proofErr w:type="spellEnd"/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інформаційних каналів держави-агресора; визначати пріоритетні напрями протидії загрозам інформаційній безпеці; прописувати схеми протидії дезінформації.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тренінги, виконання групових завдань, диспути, змагання команд у процесі вирішення проблемної ситуації у галузі інформаційної політики й безпеки. Уся ця методика формує основи ефективної комунікації, вміння працювати у команді, виявляє лідерський й організаторський потенціал кожного студента.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304B74" w:rsidRPr="00304B74" w:rsidRDefault="00304B74" w:rsidP="00304B7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У разі успішного завершення курсу студент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u w:val="single"/>
          <w:lang w:val="uk-UA"/>
        </w:rPr>
        <w:t>зможе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:</w:t>
      </w:r>
    </w:p>
    <w:p w:rsidR="00304B74" w:rsidRPr="00304B74" w:rsidRDefault="00304B74" w:rsidP="00304B74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Здійснювати </w:t>
      </w:r>
      <w:proofErr w:type="spellStart"/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медіамоніторинг</w:t>
      </w:r>
      <w:proofErr w:type="spellEnd"/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у розрізі застосування державою-агресором </w:t>
      </w:r>
      <w:proofErr w:type="spellStart"/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дезінформаційних</w:t>
      </w:r>
      <w:proofErr w:type="spellEnd"/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кампаній.</w:t>
      </w:r>
    </w:p>
    <w:p w:rsidR="00304B74" w:rsidRPr="00304B74" w:rsidRDefault="00304B74" w:rsidP="00304B74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Працювати з аналітичною базою, що подається органами державної влади в інформаційній сфері.</w:t>
      </w:r>
    </w:p>
    <w:p w:rsidR="00304B74" w:rsidRPr="00304B74" w:rsidRDefault="00304B74" w:rsidP="00304B74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lastRenderedPageBreak/>
        <w:t>Здійснювати фаховий аналіз тенденцій розвитку преси, телебачення і радіомовлення, книговидавничої справи, інформаційних технологій.</w:t>
      </w:r>
    </w:p>
    <w:p w:rsidR="00304B74" w:rsidRPr="00304B74" w:rsidRDefault="00304B74" w:rsidP="00304B74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Оформлювати аналітичний матеріал (програму заходів) щодо розвитку конкретного сектору інформаційного простору України (мас-медіа, кінематограф, видавнича діяльність, архівна та бібліотечна справа, новітні інформаційні технології) в умовах розбудови інформаційного суспільства.</w:t>
      </w:r>
    </w:p>
    <w:p w:rsidR="00304B74" w:rsidRPr="00304B74" w:rsidRDefault="00304B74" w:rsidP="00304B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Курбан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О.В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Сучасні інформаційні війни в мережевому он-лайн просторі : навчальний посібник.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Київ : ВІКНУ, 2016. 286 с.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Свобода слова в умовах збройного конфлікту. Огляд практики Європейського суду з прав людини /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Бурмагін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О.О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Опришко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Л.В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Опришко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Д.І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., Київ : ГО «Платформа прав людини», 2019. 112 с.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9" w:history="1">
        <w:proofErr w:type="spellStart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moodle.znu.edu.ua</w:t>
        </w:r>
        <w:proofErr w:type="spellEnd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course</w:t>
        </w:r>
        <w:proofErr w:type="spellEnd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view.php?id</w:t>
        </w:r>
        <w:proofErr w:type="spellEnd"/>
        <w:r w:rsidRPr="00304B74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=1001</w:t>
        </w:r>
      </w:hyperlink>
      <w:r w:rsidRPr="00304B7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04B74" w:rsidRPr="00304B74" w:rsidRDefault="00304B74" w:rsidP="0030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304B74">
        <w:rPr>
          <w:rFonts w:ascii="Times New Roman" w:eastAsia="MS Mincho" w:hAnsi="Times New Roman" w:cs="Times New Roman"/>
          <w:b/>
          <w:sz w:val="28"/>
          <w:szCs w:val="28"/>
        </w:rPr>
        <w:t>КОНТРОЛЬНІ</w:t>
      </w:r>
      <w:proofErr w:type="spellEnd"/>
      <w:r w:rsidRPr="00304B74">
        <w:rPr>
          <w:rFonts w:ascii="Times New Roman" w:eastAsia="MS Mincho" w:hAnsi="Times New Roman" w:cs="Times New Roman"/>
          <w:b/>
          <w:sz w:val="28"/>
          <w:szCs w:val="28"/>
        </w:rPr>
        <w:t xml:space="preserve"> ЗАХОДИ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304B74" w:rsidRPr="00304B74" w:rsidRDefault="00304B74" w:rsidP="00304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формуванні інформаційної політики України й гарантування її безпеки </w:t>
      </w:r>
      <w:r w:rsidRPr="00304B7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304B74" w:rsidRPr="00304B74" w:rsidRDefault="00304B74" w:rsidP="00304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Тестування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напринці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вивчення змістовного модулю (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5 балів). </w:t>
      </w:r>
    </w:p>
    <w:p w:rsidR="00304B74" w:rsidRPr="00304B74" w:rsidRDefault="00304B74" w:rsidP="00304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</w:rPr>
        <w:t>моделюванням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комунікаційних технологій (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304B74" w:rsidRPr="00304B74" w:rsidRDefault="00304B74" w:rsidP="0030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304B74" w:rsidRPr="00304B74" w:rsidRDefault="00304B74" w:rsidP="0030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спрямований на практичне закріплення знань у галузі інформаційної безпеки: </w:t>
      </w:r>
    </w:p>
    <w:p w:rsidR="00304B74" w:rsidRPr="00304B74" w:rsidRDefault="00304B74" w:rsidP="00304B74">
      <w:pPr>
        <w:spacing w:after="0" w:line="240" w:lineRule="auto"/>
        <w:ind w:left="360"/>
        <w:jc w:val="both"/>
        <w:rPr>
          <w:lang w:val="uk-UA"/>
        </w:rPr>
      </w:pPr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304B7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Кейс / фактологічна база, що формується у вигляді аналітичної довідки, за такими темами:</w:t>
      </w:r>
      <w:r w:rsidRPr="00304B74">
        <w:rPr>
          <w:lang w:val="uk-UA"/>
        </w:rPr>
        <w:t xml:space="preserve"> 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Актуальні загрози національним інтересам та національній безпеці України в інформаційній сфері. 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Здійснення спеціальних інформаційних операцій, спрямованих на підрив обороноздатності, деморалізацію особового складу Збройних Сил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УкраїниФормування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державою-агресором негативного іміджу України.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Інформаційна експансія держави-агресора.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Інформаційне домінування держави-агресора на тимчасово окупованих територіях.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Недостатня розвиненість національної інформаційної інфраструктури.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Неефективність державної інформаційної політики.</w:t>
      </w:r>
    </w:p>
    <w:p w:rsidR="00304B74" w:rsidRPr="00304B74" w:rsidRDefault="00304B74" w:rsidP="00304B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Поширення закликів до радикальних дій, пропаганда ізоляціоністських та автономістських концепцій співіснування регіонів в Україні.</w:t>
      </w:r>
    </w:p>
    <w:p w:rsidR="00304B74" w:rsidRPr="00304B74" w:rsidRDefault="00304B74" w:rsidP="00304B7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Коротка інструкція до формування аналітичної довідки: до кожної проблеми добирайте не менше 5 прикладів (це можуть бути відео- та текстові матеріали); кожен приклади має містити паспортизацію: дату, ЗМІ, автор, власник ЗМІ; обов’язково зауважте, як органи державної влади України реагують на кожну загрозу / працюють над реалізацією Доктрини. Кожна позиція має містити авторські висновки.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304B7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алгоритму аналізу поточної ситуації у сфері інформаційної безпеки дотримання 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304B7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lastRenderedPageBreak/>
        <w:t xml:space="preserve">Більш детальну інформацію та зразки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10" w:history="1">
        <w:proofErr w:type="spellStart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moodle.znu.edu.ua</w:t>
        </w:r>
        <w:proofErr w:type="spellEnd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course</w:t>
        </w:r>
        <w:proofErr w:type="spellEnd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view.php?id</w:t>
        </w:r>
        <w:proofErr w:type="spellEnd"/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=1001</w:t>
        </w:r>
      </w:hyperlink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304B74" w:rsidRPr="00304B74" w:rsidRDefault="00304B74" w:rsidP="00304B7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04B74" w:rsidRPr="00304B74" w:rsidRDefault="00304B74" w:rsidP="00304B7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4B74" w:rsidRPr="00304B74" w:rsidTr="003E393F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1,2,3, 4, 5, 6</w:t>
            </w: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304B74" w:rsidRPr="00304B74" w:rsidTr="003E393F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1,2,3, 4, 5, 6 </w:t>
            </w: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304B74" w:rsidRPr="00304B74" w:rsidTr="003E393F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7, 8, 9, 10, 11, 12</w:t>
            </w: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304B74" w:rsidRPr="00304B74" w:rsidTr="003E393F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7, 8, 9, 10, 11, 12</w:t>
            </w: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304B7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304B7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304B74" w:rsidRPr="00304B74" w:rsidRDefault="00304B74" w:rsidP="00304B74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 xml:space="preserve">Шкала оцінювання: національна та </w:t>
      </w:r>
      <w:proofErr w:type="spellStart"/>
      <w:r w:rsidRPr="00304B7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304B74" w:rsidRPr="00304B74" w:rsidTr="003E393F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304B74" w:rsidRPr="00304B74" w:rsidTr="003E393F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304B74" w:rsidRPr="00304B74" w:rsidTr="003E393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4" w:rsidRPr="00304B74" w:rsidRDefault="00304B74" w:rsidP="00304B7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4" w:rsidRPr="00304B74" w:rsidRDefault="00304B74" w:rsidP="00304B7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304B74" w:rsidRPr="00304B74" w:rsidRDefault="00304B74" w:rsidP="00304B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2196"/>
        <w:gridCol w:w="4174"/>
        <w:gridCol w:w="62"/>
        <w:gridCol w:w="1710"/>
      </w:tblGrid>
      <w:tr w:rsidR="00304B74" w:rsidRPr="00304B74" w:rsidTr="003E393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B7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304B74" w:rsidRPr="00304B74" w:rsidTr="003E393F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304B74" w:rsidRPr="00304B74" w:rsidTr="003E393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Інформаційна безпека в системі національної безпеки України. Інформаційний суверенітет та інформаційна безпека України.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Інформаційна безпека в системі національної </w:t>
            </w: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безпеки України. Інформаційний суверенітет та інформаційна безпека України.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Написання аналітичного матеріалу щодо процесу розведення військ. Актуалізація проблеми за допомогою </w:t>
            </w: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запитання: Чи вважаєте дії влади послабленням захисту фундаментальних національних інтересів України?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304B74" w:rsidRPr="00304B74" w:rsidTr="003E393F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3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3-4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Актуальні загрози національним інтересам та національній безпеці України в інформаційній сфері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2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2-3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Актуальні загрози національним інтересам та національній безпеці України в інформаційній сфері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Формування студентами аналітичної бази щодо кожної загрози.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Проведення диспутів.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проблемних групах.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4B74" w:rsidRPr="00304B74" w:rsidTr="003E393F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304B74" w:rsidRPr="00304B74" w:rsidTr="003E393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Пріоритети державної політики в інформаційній сфері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3 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Пріоритети державної політики в інформаційній сфері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Формування студентами аналітичної бази щодо кожної загрози.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Проведення диспутів.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проблемних групах.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з сайтами </w:t>
            </w:r>
            <w:hyperlink r:id="rId11" w:history="1"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www.nrada.gov.ua</w:t>
              </w:r>
              <w:proofErr w:type="spellEnd"/>
            </w:hyperlink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comin.kmu.gov.ua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control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uk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index</w:t>
              </w:r>
              <w:proofErr w:type="spellEnd"/>
            </w:hyperlink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Завдання на визначення ефективності кампанії </w:t>
            </w:r>
            <w:proofErr w:type="spellStart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ІНП</w:t>
            </w:r>
            <w:proofErr w:type="spellEnd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«Українська друга світова» - </w:t>
            </w:r>
            <w:hyperlink r:id="rId13" w:history="1"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proofErr w:type="spellStart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www.ww2.memory.gov.ua</w:t>
              </w:r>
              <w:proofErr w:type="spellEnd"/>
              <w:r w:rsidRPr="00304B74">
                <w:rPr>
                  <w:rFonts w:ascii="Times New Roman" w:eastAsia="MS Mincho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</w:hyperlink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. Визначення комунікаційних технології, які застосовуються </w:t>
            </w:r>
            <w:proofErr w:type="spellStart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ІНП</w:t>
            </w:r>
            <w:proofErr w:type="spellEnd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для актуалізації пам’яті українців.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4B74" w:rsidRPr="00304B74" w:rsidTr="003E393F">
        <w:trPr>
          <w:trHeight w:val="21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7-8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Державна інформаційна політика у контексті інтеграції України в Європейський Союз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інформаційна </w:t>
            </w: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політика у контексті інтеграції України в Європейський Союз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Виконання студентами проблемного завдання: Спираючись на теперішню </w:t>
            </w: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суспільно-політичну ситуацію, схарактеризуйте рівень захисту цього національного інтересу. Наскільки успішними вважаєте дії сектору оборони України у цьому напряму? Аргументуйте відповідь конкретними </w:t>
            </w:r>
            <w:proofErr w:type="spellStart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пркиладами</w:t>
            </w:r>
            <w:proofErr w:type="spellEnd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304B74" w:rsidRPr="00304B74" w:rsidTr="003E393F">
        <w:trPr>
          <w:trHeight w:val="161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3</w:t>
            </w:r>
          </w:p>
        </w:tc>
      </w:tr>
      <w:tr w:rsidR="00304B74" w:rsidRPr="00304B74" w:rsidTr="003E393F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Шляхи розвитку інформаційного суспільства в Україні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11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6-7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Шляхи розвитку інформаційного суспільства в Україні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Формування студентами аналітичної бази щодо проблемних питань.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Проведення диспутів.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проблемних групах.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304B74" w:rsidRPr="00304B74" w:rsidTr="003E393F">
        <w:trPr>
          <w:trHeight w:val="1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Сучасний стан інформаційного простору України: поліграфічний та кінематографічний комплекси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1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6-7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Сучасний стан інформаційного простору України: поліграфічний та кінематографічний комплекси.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Формування студентами аналітичної бази щодо проблемних питань.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Проведення диспутів.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проблемних групах.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Тестування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4B74" w:rsidRPr="00304B74" w:rsidTr="003E393F">
        <w:trPr>
          <w:trHeight w:val="367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304B74" w:rsidRPr="00304B74" w:rsidTr="003E393F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Сучасний стан інформаційного простору України: засоби масової інформації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6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Сучасний стан інформаційного простору України: засоби масової інформації.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в групах над такими завданнями: 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Схарактеризуйте стан реформування державних і комунальних друкованих ЗМІ. На Вашу думку, настільки доцільною була політика суттєвого скорочення такої преси? Аргументуйте свою думку.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Порівняйте діяльність Держкомтелерадіо з Національною Радою України з питань телебачення і радіомовлення. Чи не дублюються повноваження цих органів. Порівняння оформіть за допомогою таблиці або схеми.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304B74" w:rsidRPr="00304B74" w:rsidTr="003E393F">
        <w:trPr>
          <w:trHeight w:val="221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5</w:t>
            </w:r>
          </w:p>
        </w:tc>
      </w:tr>
      <w:tr w:rsidR="00304B74" w:rsidRPr="00304B74" w:rsidTr="003E393F">
        <w:trPr>
          <w:trHeight w:val="1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12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Форми інформаційного протиборства</w:t>
            </w:r>
          </w:p>
        </w:tc>
        <w:tc>
          <w:tcPr>
            <w:tcW w:w="4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B74" w:rsidRPr="00304B74" w:rsidTr="003E393F">
        <w:trPr>
          <w:trHeight w:val="1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9-10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10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Форми інформаційного протиборства</w:t>
            </w:r>
          </w:p>
        </w:tc>
        <w:tc>
          <w:tcPr>
            <w:tcW w:w="4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 над проблемним завданням: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Складіть аналітичну довідку щодо актуальних воєнно-політичних викликів, які постали перед Україною (втручання у внутрішні справи України з боку Російської Федерації, спроби дестабілізації з боку Російської Федерації соціально-політичної та економічної ситуації, цілеспрямований інформаційний (інформаційно-психологічний) вплив).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304B74" w:rsidRPr="00304B74" w:rsidTr="003E393F">
        <w:trPr>
          <w:trHeight w:val="37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6</w:t>
            </w:r>
          </w:p>
        </w:tc>
      </w:tr>
      <w:tr w:rsidR="00304B74" w:rsidRPr="00304B74" w:rsidTr="003E393F">
        <w:trPr>
          <w:trHeight w:val="1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11-12</w:t>
            </w:r>
          </w:p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національної ради з питань 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Телебачення і радіомовлення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 над завданнями: Діяльність Національної ради з питань телебачення і радіомовлення у контексті гарантування інформаційної безпеки (обмеження російських телеканалів та контенту).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Національної ради з питань телебачення і радіомовлення у контексті інформаційної інтеграції Криму та Донбасу.</w:t>
            </w:r>
          </w:p>
          <w:p w:rsidR="00304B74" w:rsidRPr="00304B74" w:rsidRDefault="00304B74" w:rsidP="00304B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ліцензування </w:t>
            </w:r>
            <w:proofErr w:type="spellStart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-, радіоорганізацій (</w:t>
            </w:r>
            <w:proofErr w:type="spellStart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ЗУ</w:t>
            </w:r>
            <w:proofErr w:type="spellEnd"/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«Про телебачення і радіомовлення»).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74" w:rsidRPr="00304B74" w:rsidRDefault="00304B74" w:rsidP="00304B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4B7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304B74" w:rsidRPr="00304B74" w:rsidRDefault="00304B74" w:rsidP="00304B74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1. Бондаренко І. С. Інформаційна політика та безпека: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посібн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студентів факультету журналістики. Запоріжжя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ЗНУ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2011. 84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Правові основи масової комунікації: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посібн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студентів факультету журналістики. Запоріжжя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ЗНУ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2011. 84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Горбулін В. П.,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Биченок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М. М. Проблеми захисту інформаційного простору України: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мнографія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Київ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Інтертехнологія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2009. 136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Інформаційний простір України: Словник-довідник законодавчих термінів: довідково-навчальне видання / Автор-укладач Я.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О.Чепуренко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/ Національний педагогічний університет імені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М.П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Драгоманова. Київ : “Освіта України”, 2008. 544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Ліпкан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А. Теоретичні основи та елементи національної безпеки України: монографія. Київ : “Текст”, 2003. 600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Литвиненко О. В. Інформаційні впливи і операції: Теоретико-аналітичні нариси. Київ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НІСД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2003.  240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7.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Марущак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А. І. Інформаційне право: Доступ до інформації: навчальний посібник. Київ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КНТ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2007.  532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Марущак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А. І. Інформаційне право: регулювання інформаційної діяльності: навчальний посібник. Київ : Видавничий дім “Скіф”,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КНТ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344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Основи інформаційного права України: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/ В. С. Цимбалюк, В. Д.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Гавловський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В. М. Брижко; за ред. М. Я. Швеця, Р. А. Калюжного та П. В. Мельника. 2-ге вид.,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переробл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і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допов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– Київ : Знання, 2009. 414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10. Свобода слова в умовах збройного конфлікту. Огляд практики Європейського суду з прав людини /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Бурмагін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О. О.,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Опришко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Л. В.,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Опришко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Д. І. Київ : ГО «Платформа прав людини», 2019. 112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10.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Цимбалюк В. С. Інформаційне право (основи теорії і практики): монографія. Київ : “Освіта України”, 2010. 388 с.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11.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Чукут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С. А. Інформаційна політика: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Київ: Знання, 2006. 663 с. (Вища освіта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ХХІ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століття).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Нормативні документи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інформацію” від 02.10.92, №2657.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забезпечення функціонування української мови як державної”.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://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laws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/2704-19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науково-технічну інформацію” від 25.06.93, №3322.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Про національну безпеку України. Документ 2469-VIII. Від 21.06. 2018.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://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laws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/2469-19.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захист інформації в інформаційно-телекомунікаційних системах” від 05.07.94, №80/94.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національну програму інформатизації” від 04.02.98, №74/98.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7.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Основні засади розвитку інформаційного суспільства в Україні на 2007-2015 роки” від від 09.01 2007 р., №537-V.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Закон України “Про основи національної безпеки України” від 19.06. 2003 р № 964-IV.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Указ Президента України “Про Доктрину інформаційної безпеки України”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вiд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08.07.2009 р.  № 514/2009.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zakon.rada.gov.ua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Національна рада України з питань телебачення і радіомовлення. Офіційний сайт.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14" w:history="1"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http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www.nrada.gov.ua</w:t>
        </w:r>
        <w:proofErr w:type="spellEnd"/>
      </w:hyperlink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Міністерство культури, молоді та спорту України (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МКМС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Офіційний сайт.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15" w:history="1"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http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mkms.gov.ua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content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pro-ministerstvo.html</w:t>
        </w:r>
        <w:proofErr w:type="spellEnd"/>
      </w:hyperlink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Рада національної безпеки і оборони України. Офіційний сайт.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16" w:history="1"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http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www.rnbo.gov.ua</w:t>
        </w:r>
        <w:proofErr w:type="spellEnd"/>
      </w:hyperlink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 Служба безпеки України. Офіційний сайт.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hyperlink r:id="rId17" w:history="1"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http</w:t>
        </w:r>
        <w:proofErr w:type="spellEnd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Times New Roman" w:eastAsia="MS Mincho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www.sbu.gov.ua</w:t>
        </w:r>
        <w:proofErr w:type="spellEnd"/>
      </w:hyperlink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304B74" w:rsidRPr="00304B74" w:rsidRDefault="00304B74" w:rsidP="00304B7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304B7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Відвідування усіх занять є обов’язковим, оскільки курс зорієнтовано на формування практичних комунікаційних навичок. 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перевірки практичних і творчих завдань на плагіат (зосібна, спеціалізованого програмного забезпечення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Пам’ятайте, що відповідно до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ЗУ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«Про авторське право і суміжні права» плагіат – «це оприлюднення  (опублікування),  повністю   або частково,  чужого  твору під іменем особи,  яка не є автором цього твору».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 (Рекомендації щодо запобігання академічному плагіату та його виявлення в наукових роботах (авторефератах, дисертаціях, монографіях, наукових доповідях, статтях тощо)).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18" w:history="1">
        <w:r w:rsidRPr="00304B74">
          <w:rPr>
            <w:rFonts w:ascii="Times New Roman" w:eastAsia="MS Mincho" w:hAnsi="Times New Roman" w:cs="Times New Roman"/>
            <w:bCs/>
            <w:i/>
            <w:iCs/>
            <w:color w:val="0000FF" w:themeColor="hyperlink"/>
            <w:sz w:val="24"/>
            <w:szCs w:val="24"/>
            <w:u w:val="single"/>
            <w:lang w:val="uk-UA"/>
          </w:rPr>
          <w:t>http://aphd.ua/rekomendatsi-shchodo-zapobihannia-akademichnomu-plahiatu-ta-ioho-vyiavlennia-v-naukovykh-robotakh/</w:t>
        </w:r>
      </w:hyperlink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Studfile.net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Studopedia.org</w:t>
      </w:r>
      <w:proofErr w:type="spellEnd"/>
      <w:r w:rsidRPr="00304B7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ін. 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 w:rsidRPr="00304B7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304B74" w:rsidRPr="00304B74" w:rsidRDefault="00304B74" w:rsidP="00304B7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304B74" w:rsidRPr="00304B74" w:rsidRDefault="00304B74" w:rsidP="00304B7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proofErr w:type="spellStart"/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комунікує</w:t>
      </w:r>
      <w:proofErr w:type="spellEnd"/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зі студентами за допомогою електронної пошти, </w:t>
      </w:r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304B74">
        <w:rPr>
          <w:lang w:val="uk-UA"/>
        </w:rPr>
        <w:t xml:space="preserve"> </w:t>
      </w:r>
      <w:proofErr w:type="spellStart"/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304B7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Messenger. Викладач відповідатиме на письмові запити студентів терміново упродовж усього навчального тижня.  </w:t>
      </w:r>
    </w:p>
    <w:p w:rsidR="00304B74" w:rsidRPr="00304B74" w:rsidRDefault="00304B74" w:rsidP="00304B74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304B7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 xml:space="preserve">ДОДАТОК ДО </w:t>
      </w:r>
      <w:proofErr w:type="spellStart"/>
      <w:r w:rsidRPr="00304B7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СИЛАБУСУ</w:t>
      </w:r>
      <w:proofErr w:type="spellEnd"/>
      <w:r w:rsidRPr="00304B7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</w:t>
      </w:r>
      <w:proofErr w:type="spellStart"/>
      <w:r w:rsidRPr="00304B7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– 2020-2021 рр.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304B74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304B7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304B74">
        <w:rPr>
          <w:rFonts w:ascii="Cambria" w:eastAsia="MS Mincho" w:hAnsi="Cambria" w:cs="Times New Roman"/>
          <w:i/>
          <w:sz w:val="20"/>
          <w:szCs w:val="20"/>
          <w:lang w:val="uk-UA"/>
        </w:rPr>
        <w:t xml:space="preserve">(посилання на сторінку сайту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0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i/>
          <w:sz w:val="20"/>
          <w:szCs w:val="20"/>
          <w:lang w:val="uk-UA"/>
        </w:rPr>
        <w:t>)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Кодексом академічної доброчесності </w:t>
      </w:r>
      <w:proofErr w:type="spellStart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9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ya6yk4ad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0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y6wzzlu3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студентів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1" w:history="1"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304B7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304B74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повторного вивчення навчальних дисциплін та повторного навчання у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2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y9pkmmp5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переведення, відрахування та поновлення студентів у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3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ycds57la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4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y8gbt4xs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і процедури вирішення конфліктних ситуацій у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5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ycyfws9v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порядок призначення і виплати академічних стипендій у </w:t>
      </w:r>
      <w:proofErr w:type="spellStart"/>
      <w:r w:rsidRPr="00304B7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6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yd6bq6p9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304B7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 xml:space="preserve">Положення про призначення та виплату соціальних стипендій у </w:t>
      </w:r>
      <w:proofErr w:type="spellStart"/>
      <w:r w:rsidRPr="00304B7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7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y9r5dpwh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304B74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304B7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304B7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304B7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304B7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обладнані пандусами для забезпечення доступу осіб з інвалідністю та інших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8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ydhcsagx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9" w:history="1"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</w:t>
        </w:r>
        <w:proofErr w:type="spellEnd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304B7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library.znu.edu.ua</w:t>
        </w:r>
        <w:proofErr w:type="spellEnd"/>
      </w:hyperlink>
      <w:r w:rsidRPr="00304B74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</w:t>
      </w:r>
      <w:proofErr w:type="spellStart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</w:t>
      </w:r>
      <w:proofErr w:type="spellEnd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): </w:t>
      </w:r>
      <w:proofErr w:type="spellStart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https</w:t>
      </w:r>
      <w:proofErr w:type="spellEnd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://</w:t>
      </w:r>
      <w:proofErr w:type="spellStart"/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moodle.znu.edu.ua</w:t>
      </w:r>
      <w:proofErr w:type="spellEnd"/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moodle.znu@gmail.com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, Савченко Тетяна Володимирівна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Інженерного інституту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alexvask54@gmail.com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, Василенко Олексій Володимирович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, то використовуйте посилання для відновлення паролю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moodle.znu.edu.ua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mod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page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view.php?id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=133015.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child-advance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www.znu.edu.ua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ukr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edu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ocznu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nim</w:t>
      </w:r>
      <w:proofErr w:type="spellEnd"/>
    </w:p>
    <w:p w:rsidR="00304B74" w:rsidRPr="00304B74" w:rsidRDefault="00304B74" w:rsidP="00304B74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304B7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304B7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304B74">
        <w:rPr>
          <w:rFonts w:ascii="Cambria" w:eastAsia="MS Mincho" w:hAnsi="Cambria" w:cs="Times New Roman"/>
          <w:sz w:val="20"/>
          <w:szCs w:val="24"/>
          <w:lang w:val="uk-UA"/>
        </w:rPr>
        <w:t>confucius</w:t>
      </w:r>
      <w:proofErr w:type="spellEnd"/>
    </w:p>
    <w:p w:rsidR="00304B74" w:rsidRPr="00304B74" w:rsidRDefault="00304B74" w:rsidP="00304B74"/>
    <w:p w:rsidR="00304B74" w:rsidRPr="00304B74" w:rsidRDefault="00304B74" w:rsidP="00304B74"/>
    <w:p w:rsidR="00304B74" w:rsidRPr="00304B74" w:rsidRDefault="00304B74" w:rsidP="00304B74"/>
    <w:p w:rsidR="00240951" w:rsidRDefault="00240951"/>
    <w:sectPr w:rsidR="00240951" w:rsidSect="00D1027F">
      <w:headerReference w:type="default" r:id="rId3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A" w:rsidRDefault="00493EAA" w:rsidP="00304B74">
      <w:pPr>
        <w:spacing w:after="0" w:line="240" w:lineRule="auto"/>
      </w:pPr>
      <w:r>
        <w:separator/>
      </w:r>
    </w:p>
  </w:endnote>
  <w:endnote w:type="continuationSeparator" w:id="0">
    <w:p w:rsidR="00493EAA" w:rsidRDefault="00493EAA" w:rsidP="0030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A" w:rsidRDefault="00493EAA" w:rsidP="00304B74">
      <w:pPr>
        <w:spacing w:after="0" w:line="240" w:lineRule="auto"/>
      </w:pPr>
      <w:r>
        <w:separator/>
      </w:r>
    </w:p>
  </w:footnote>
  <w:footnote w:type="continuationSeparator" w:id="0">
    <w:p w:rsidR="00493EAA" w:rsidRDefault="00493EAA" w:rsidP="00304B74">
      <w:pPr>
        <w:spacing w:after="0" w:line="240" w:lineRule="auto"/>
      </w:pPr>
      <w:r>
        <w:continuationSeparator/>
      </w:r>
    </w:p>
  </w:footnote>
  <w:footnote w:id="1">
    <w:p w:rsidR="00304B74" w:rsidRPr="00112384" w:rsidRDefault="00304B74" w:rsidP="00304B74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EС</w:t>
      </w:r>
      <w:r w:rsidRPr="000F48AB">
        <w:rPr>
          <w:b/>
          <w:sz w:val="22"/>
          <w:szCs w:val="22"/>
          <w:lang w:val="uk-UA"/>
        </w:rPr>
        <w:t>TS</w:t>
      </w:r>
      <w:proofErr w:type="spellEnd"/>
      <w:r w:rsidRPr="000F48AB">
        <w:rPr>
          <w:b/>
          <w:sz w:val="22"/>
          <w:szCs w:val="22"/>
          <w:lang w:val="uk-UA"/>
        </w:rPr>
        <w:t>)</w:t>
      </w:r>
    </w:p>
  </w:footnote>
  <w:footnote w:id="2">
    <w:p w:rsidR="00304B74" w:rsidRPr="009F6B92" w:rsidRDefault="00304B74" w:rsidP="00304B74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F" w:rsidRPr="006F1B80" w:rsidRDefault="00493EAA" w:rsidP="00D1027F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5DCFFB" wp14:editId="5B00B197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D1027F" w:rsidRPr="00E42FA1" w:rsidRDefault="00493EAA" w:rsidP="00D1027F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D1027F" w:rsidRPr="009E7399" w:rsidRDefault="00493EAA" w:rsidP="00D1027F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D1027F" w:rsidRPr="00CF2559" w:rsidRDefault="00493EAA" w:rsidP="00D1027F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949"/>
    <w:multiLevelType w:val="hybridMultilevel"/>
    <w:tmpl w:val="12CC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0AE1"/>
    <w:multiLevelType w:val="hybridMultilevel"/>
    <w:tmpl w:val="2B0CD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74"/>
    <w:rsid w:val="00240951"/>
    <w:rsid w:val="00304B74"/>
    <w:rsid w:val="004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B74"/>
  </w:style>
  <w:style w:type="paragraph" w:styleId="a5">
    <w:name w:val="footnote text"/>
    <w:basedOn w:val="a"/>
    <w:link w:val="1"/>
    <w:semiHidden/>
    <w:rsid w:val="00304B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304B74"/>
    <w:rPr>
      <w:sz w:val="20"/>
      <w:szCs w:val="20"/>
    </w:rPr>
  </w:style>
  <w:style w:type="character" w:styleId="a7">
    <w:name w:val="footnote reference"/>
    <w:semiHidden/>
    <w:rsid w:val="00304B74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304B74"/>
    <w:rPr>
      <w:rFonts w:ascii="Times New Roman" w:eastAsia="MS Mincho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B74"/>
  </w:style>
  <w:style w:type="paragraph" w:styleId="a5">
    <w:name w:val="footnote text"/>
    <w:basedOn w:val="a"/>
    <w:link w:val="1"/>
    <w:semiHidden/>
    <w:rsid w:val="00304B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304B74"/>
    <w:rPr>
      <w:sz w:val="20"/>
      <w:szCs w:val="20"/>
    </w:rPr>
  </w:style>
  <w:style w:type="character" w:styleId="a7">
    <w:name w:val="footnote reference"/>
    <w:semiHidden/>
    <w:rsid w:val="00304B74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304B74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001" TargetMode="External"/><Relationship Id="rId13" Type="http://schemas.openxmlformats.org/officeDocument/2006/relationships/hyperlink" Target="https://www.ww2.memory.gov.ua/" TargetMode="External"/><Relationship Id="rId18" Type="http://schemas.openxmlformats.org/officeDocument/2006/relationships/hyperlink" Target="http://aphd.ua/rekomendatsi-shchodo-zapobihannia-akademichnomu-plahiatu-ta-ioho-vyiavlennia-v-naukovykh-robotakh/" TargetMode="External"/><Relationship Id="rId26" Type="http://schemas.openxmlformats.org/officeDocument/2006/relationships/hyperlink" Target="https://tinyurl.com/yd6bq6p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y9tve4l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in.kmu.gov.ua/control/uk/index" TargetMode="External"/><Relationship Id="rId17" Type="http://schemas.openxmlformats.org/officeDocument/2006/relationships/hyperlink" Target="http://www.sbu.gov.ua" TargetMode="External"/><Relationship Id="rId25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nbo.gov.ua" TargetMode="External"/><Relationship Id="rId20" Type="http://schemas.openxmlformats.org/officeDocument/2006/relationships/hyperlink" Target="https://tinyurl.com/y6wzzlu3" TargetMode="External"/><Relationship Id="rId29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rada.gov.ua" TargetMode="External"/><Relationship Id="rId24" Type="http://schemas.openxmlformats.org/officeDocument/2006/relationships/hyperlink" Target="https://tinyurl.com/y8gbt4x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ms.gov.ua/content/pro-ministerstvo.html" TargetMode="External"/><Relationship Id="rId23" Type="http://schemas.openxmlformats.org/officeDocument/2006/relationships/hyperlink" Target="https://tinyurl.com/ycds57la" TargetMode="External"/><Relationship Id="rId28" Type="http://schemas.openxmlformats.org/officeDocument/2006/relationships/hyperlink" Target="https://tinyurl.com/ydhcsagx" TargetMode="External"/><Relationship Id="rId10" Type="http://schemas.openxmlformats.org/officeDocument/2006/relationships/hyperlink" Target="https://moodle.znu.edu.ua/course/view.php?id=1001" TargetMode="External"/><Relationship Id="rId19" Type="http://schemas.openxmlformats.org/officeDocument/2006/relationships/hyperlink" Target="https://tinyurl.com/ya6yk4a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001" TargetMode="External"/><Relationship Id="rId14" Type="http://schemas.openxmlformats.org/officeDocument/2006/relationships/hyperlink" Target="http://www.nrada.gov.ua" TargetMode="External"/><Relationship Id="rId22" Type="http://schemas.openxmlformats.org/officeDocument/2006/relationships/hyperlink" Target="https://tinyurl.com/y9pkmmp5" TargetMode="External"/><Relationship Id="rId27" Type="http://schemas.openxmlformats.org/officeDocument/2006/relationships/hyperlink" Target="https://tinyurl.com/y9r5dpwh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2020-09-02T11:56:00Z</dcterms:created>
  <dcterms:modified xsi:type="dcterms:W3CDTF">2020-09-02T11:58:00Z</dcterms:modified>
</cp:coreProperties>
</file>