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8" w:rsidRDefault="004F3308" w:rsidP="004F3308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  <w:lang w:val="fr-FR"/>
        </w:rPr>
      </w:pPr>
      <w:r w:rsidRPr="00640E73">
        <w:rPr>
          <w:rFonts w:ascii="TimesNewRomanPS-BoldMT" w:hAnsi="TimesNewRomanPS-BoldMT"/>
          <w:b/>
          <w:bCs/>
          <w:color w:val="000000"/>
          <w:sz w:val="32"/>
          <w:szCs w:val="32"/>
          <w:lang w:val="fr-FR"/>
        </w:rPr>
        <w:t>Les ressources s</w:t>
      </w:r>
      <w:r>
        <w:rPr>
          <w:rFonts w:ascii="TimesNewRomanPS-BoldMT" w:hAnsi="TimesNewRomanPS-BoldMT"/>
          <w:b/>
          <w:bCs/>
          <w:color w:val="000000"/>
          <w:sz w:val="32"/>
          <w:szCs w:val="32"/>
          <w:lang w:val="fr-FR"/>
        </w:rPr>
        <w:t>tylistiques du français moderne</w:t>
      </w:r>
    </w:p>
    <w:p w:rsidR="004F3308" w:rsidRDefault="004F3308" w:rsidP="004F3308">
      <w:pPr>
        <w:jc w:val="center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Les styles de prononciation</w:t>
      </w:r>
      <w:r w:rsidRPr="00640E73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</w:p>
    <w:p w:rsidR="004F3308" w:rsidRDefault="004F3308" w:rsidP="004F3308">
      <w:pPr>
        <w:jc w:val="center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Plan</w:t>
      </w:r>
    </w:p>
    <w:p w:rsidR="004F3308" w:rsidRDefault="004F3308" w:rsidP="004F3308">
      <w:pPr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1. La norme orthoépique du français et son évolution.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>2. Les différentes classifications des styles de prononciation.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>3. Les particularités du style recherché.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4. Les particularités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du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style moyen.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5. Les particularités </w:t>
      </w:r>
      <w:r w:rsidRPr="001752ED">
        <w:rPr>
          <w:rFonts w:ascii="TimesNewRomanPSMT" w:hAnsi="TimesNewRomanPSMT"/>
          <w:color w:val="000000"/>
          <w:sz w:val="28"/>
          <w:szCs w:val="28"/>
          <w:lang w:val="fr-FR"/>
        </w:rPr>
        <w:t>du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style familier.</w:t>
      </w:r>
    </w:p>
    <w:p w:rsidR="004F3308" w:rsidRPr="004F3308" w:rsidRDefault="004F3308" w:rsidP="004F3308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4F3308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Bibliographie:</w:t>
      </w:r>
    </w:p>
    <w:p w:rsidR="004F3308" w:rsidRDefault="004F3308" w:rsidP="004F3308">
      <w:pPr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Селях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Евчик</w:t>
      </w:r>
      <w:proofErr w:type="spellEnd"/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Фонетика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французского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языка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Минск, 1977.</w:t>
      </w:r>
      <w:r>
        <w:rPr>
          <w:rFonts w:ascii="TimesNewRomanPSMT" w:hAnsi="TimesNewRomanPSMT"/>
          <w:color w:val="000000"/>
          <w:sz w:val="28"/>
          <w:szCs w:val="28"/>
        </w:rPr>
        <w:br/>
        <w:t>2. Соколова В.С., Портнова Н.Н. Фонетика французской разговорной</w:t>
      </w:r>
      <w:r>
        <w:rPr>
          <w:rFonts w:ascii="TimesNewRomanPSMT" w:hAnsi="TimesNewRomanPSMT"/>
          <w:color w:val="000000"/>
          <w:sz w:val="28"/>
          <w:szCs w:val="28"/>
        </w:rPr>
        <w:br/>
        <w:t>речи. М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t>., 1990.</w:t>
      </w:r>
      <w:r w:rsidRPr="004F3308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3. </w:t>
      </w:r>
      <w:r>
        <w:rPr>
          <w:rFonts w:ascii="TimesNewRomanPSMT" w:hAnsi="TimesNewRomanPSMT"/>
          <w:color w:val="000000"/>
          <w:sz w:val="28"/>
          <w:szCs w:val="28"/>
        </w:rPr>
        <w:t>Морен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Тетеревникова</w:t>
      </w:r>
      <w:proofErr w:type="spellEnd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Цит</w:t>
      </w:r>
      <w:proofErr w:type="spellEnd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соч</w:t>
      </w:r>
      <w:proofErr w:type="spellEnd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>4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Lerond A. Dictionnaire de la </w:t>
      </w:r>
      <w:proofErr w:type="gramStart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prononciation .</w:t>
      </w:r>
      <w:proofErr w:type="gramEnd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P., 1980.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8C0812">
        <w:rPr>
          <w:rFonts w:ascii="TimesNewRomanPSMT" w:hAnsi="TimesNewRomanPSMT"/>
          <w:color w:val="000000"/>
          <w:sz w:val="28"/>
          <w:szCs w:val="28"/>
          <w:lang w:val="fr-FR"/>
        </w:rPr>
        <w:t>5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Léon P. Aspects phonostylistiques des niveaux de langue. </w:t>
      </w:r>
      <w:r>
        <w:rPr>
          <w:rFonts w:ascii="TimesNewRomanPSMT" w:hAnsi="TimesNewRomanPSMT"/>
          <w:color w:val="000000"/>
          <w:sz w:val="28"/>
          <w:szCs w:val="28"/>
        </w:rPr>
        <w:t>В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кн</w:t>
      </w:r>
      <w:proofErr w:type="spellEnd"/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.:</w:t>
      </w:r>
      <w:r w:rsidRPr="008C081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Хрестоматия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французской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стилистике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., 1986.</w:t>
      </w:r>
    </w:p>
    <w:p w:rsidR="004F3308" w:rsidRDefault="004F3308" w:rsidP="004F3308">
      <w:p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Chaque langue a sa propre </w:t>
      </w:r>
      <w:r w:rsidRPr="00BA552A">
        <w:rPr>
          <w:rFonts w:ascii="TimesNewRomanPSMT" w:hAnsi="TimesNewRomanPSMT"/>
          <w:b/>
          <w:color w:val="000000"/>
          <w:sz w:val="28"/>
          <w:szCs w:val="28"/>
          <w:lang w:val="fr-FR"/>
        </w:rPr>
        <w:t>norme orthoépique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c’est-à-dire </w:t>
      </w:r>
      <w:r w:rsidRPr="001752ED">
        <w:rPr>
          <w:rFonts w:ascii="TimesNewRomanPSMT" w:hAnsi="TimesNewRomanPSMT"/>
          <w:b/>
          <w:color w:val="000000"/>
          <w:sz w:val="28"/>
          <w:szCs w:val="28"/>
          <w:lang w:val="fr-FR"/>
        </w:rPr>
        <w:t>l’ensemble des règles de la prononciation correcte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. Cette norme n’est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pas fixée une fois pour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toutes.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omme le souligne 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urélien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Sauvageot, «le français moderne est en pleine évolution phonétique».</w:t>
      </w:r>
    </w:p>
    <w:p w:rsidR="004F3308" w:rsidRDefault="004F3308" w:rsidP="004F33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Les plus grands changements sont observés dans le système vocalique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164B11">
        <w:rPr>
          <w:rFonts w:ascii="TimesNewRomanPSMT" w:hAnsi="TimesNewRomanPSMT"/>
          <w:sz w:val="28"/>
          <w:szCs w:val="28"/>
          <w:lang w:val="fr-FR"/>
        </w:rPr>
        <w:t>Ainsi, 1) la différence entre le [</w:t>
      </w:r>
      <w:r w:rsidRPr="00164B11">
        <w:rPr>
          <w:rFonts w:ascii="SymbolMT" w:hAnsi="SymbolMT"/>
          <w:sz w:val="28"/>
          <w:szCs w:val="28"/>
        </w:rPr>
        <w:t>α</w:t>
      </w:r>
      <w:r w:rsidRPr="00164B11">
        <w:rPr>
          <w:rFonts w:ascii="TimesNewRomanPSMT" w:hAnsi="TimesNewRomanPSMT"/>
          <w:sz w:val="28"/>
          <w:szCs w:val="28"/>
          <w:lang w:val="fr-FR"/>
        </w:rPr>
        <w:t>] postérieur et le [a] antérieur s’efface aujourd’hui. Le [</w:t>
      </w:r>
      <w:r w:rsidRPr="00164B11">
        <w:rPr>
          <w:rFonts w:ascii="SymbolMT" w:hAnsi="SymbolMT"/>
          <w:sz w:val="28"/>
          <w:szCs w:val="28"/>
        </w:rPr>
        <w:t>α</w:t>
      </w:r>
      <w:r w:rsidRPr="00164B11">
        <w:rPr>
          <w:rFonts w:ascii="TimesNewRomanPSMT" w:hAnsi="TimesNewRomanPSMT"/>
          <w:sz w:val="28"/>
          <w:szCs w:val="28"/>
          <w:lang w:val="fr-FR"/>
        </w:rPr>
        <w:t xml:space="preserve">] postérieur disparaît peu à peu et devient plus antérieur de façon que les Français ne font plus de différence entre les mots 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patte/pâte (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лапа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/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тесто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), tache/tâche (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пятно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/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задача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), rat/raz (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крыса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/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узкий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пролив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или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бурное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течение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>), pale/ pâle (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лопасть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или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затвор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/ </w:t>
      </w:r>
      <w:r w:rsidRPr="00164B11">
        <w:rPr>
          <w:rFonts w:ascii="TimesNewRomanPS-BoldMT" w:hAnsi="TimesNewRomanPS-BoldMT"/>
          <w:bCs/>
          <w:i/>
          <w:sz w:val="28"/>
          <w:szCs w:val="28"/>
        </w:rPr>
        <w:t>бледный</w:t>
      </w:r>
      <w:r w:rsidRPr="00164B1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) </w:t>
      </w:r>
      <w:r w:rsidRPr="00164B11">
        <w:rPr>
          <w:rFonts w:ascii="TimesNewRomanPSMT" w:hAnsi="TimesNewRomanPSMT"/>
          <w:sz w:val="28"/>
          <w:szCs w:val="28"/>
          <w:lang w:val="fr-FR"/>
        </w:rPr>
        <w:t xml:space="preserve">etc. La neutralisation de cette opposition </w:t>
      </w:r>
      <w:r w:rsidRPr="008F70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est confirmée par différentes enquêtes. </w:t>
      </w:r>
    </w:p>
    <w:p w:rsidR="004F3308" w:rsidRDefault="004F3308" w:rsidP="004F3308">
      <w:p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2) </w:t>
      </w:r>
      <w:r w:rsidRPr="008F70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L’opposition entre le [o] fermé et le </w:t>
      </w:r>
      <w:r w:rsidRPr="008F703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[ɔ]</w:t>
      </w:r>
      <w:r w:rsidRPr="008F703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8F7039">
        <w:rPr>
          <w:rFonts w:ascii="Times New Roman" w:hAnsi="Times New Roman" w:cs="Times New Roman"/>
          <w:color w:val="000000"/>
          <w:sz w:val="28"/>
          <w:szCs w:val="28"/>
          <w:lang w:val="fr-FR"/>
        </w:rPr>
        <w:t>ouvert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se maintient seulement dans la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position accentuée et disparaît dans les syllabes inaccentuées.</w:t>
      </w:r>
      <w:r w:rsidRPr="003B46E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Dans le système consonantique on observe la tendance à prononcer les mots</w:t>
      </w:r>
      <w:r w:rsidRPr="003B46E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du type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million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[lj] et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milliard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[lj] comme [mijõ], [mijar]. </w:t>
      </w:r>
      <w:r w:rsidRPr="008F7039">
        <w:rPr>
          <w:rFonts w:ascii="Times New Roman" w:hAnsi="Times New Roman" w:cs="Times New Roman"/>
          <w:color w:val="000000"/>
          <w:sz w:val="28"/>
          <w:szCs w:val="28"/>
          <w:lang w:val="fr-FR"/>
        </w:rPr>
        <w:t>La consonne [ƞ] est presque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partout remplacé par le groupe consonantique [nj]: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vignoble, montagnard.</w:t>
      </w:r>
      <w:r w:rsidRPr="003B46E2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3B46E2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Tous</w:t>
      </w:r>
      <w:r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ces exemples p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osent le problème suivant: qu’est-ce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qui doit être considéré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aujourd’hui comme norme orthoépique? Cette norme existe</w:t>
      </w:r>
      <w:r w:rsidRPr="00C23C45">
        <w:rPr>
          <w:rFonts w:ascii="TimesNewRomanPSMT" w:hAnsi="TimesNewRomanPSMT"/>
          <w:color w:val="000000"/>
          <w:sz w:val="28"/>
          <w:szCs w:val="28"/>
          <w:lang w:val="fr-FR"/>
        </w:rPr>
        <w:t>-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t-elle? Qui établie cette norme?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L’existence d’une norme n’exclut pas la possibilité des variantes dans la prononciation.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[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D’autant plus que, tout en souffrant certaines variantes, la norme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>connaît des limites qu’il est interdit de franchir.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]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Ainsi la prononciation du mot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obscur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comme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o(b)scur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ou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se(p)tembre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au lieu de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septembre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est sévèrement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blamée par les règles de la prononciation. De même la prononciation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a(v)oir,</w:t>
      </w:r>
      <w:r w:rsidRPr="00164B11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meub(l)e, rhumatis(m)e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est traitée comme incorrecte et vulgaire.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Par contre les variantes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peut-être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[pt</w:t>
      </w:r>
      <w:r w:rsidRPr="00164B11">
        <w:rPr>
          <w:rFonts w:ascii="SymbolMT" w:hAnsi="SymbolMT"/>
          <w:i/>
          <w:color w:val="000000"/>
          <w:sz w:val="28"/>
          <w:szCs w:val="28"/>
        </w:rPr>
        <w:t>ε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t]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ont toutes les deux admises par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la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norme. On peut dire la même chose de 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puis/p(u)is, il y a/[ja]</w:t>
      </w:r>
      <w:r w:rsidRPr="00640E73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L’existence des variantes phonétiques conformes à la norme orthoépique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conduit 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phonéticiens à la nécessité de les classer puisque stylistiquement elles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ne sont pas pareilles: l’une étant plus soutenue, recherchée et même solennelle,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l’autre plus relachée, la troisième neutre.</w:t>
      </w:r>
    </w:p>
    <w:p w:rsidR="004F3308" w:rsidRDefault="004F3308" w:rsidP="004F3308">
      <w:pPr>
        <w:ind w:left="708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Il existe plusieurs classificatio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ns des styles de prononciation. 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L’académicien </w:t>
      </w:r>
      <w:r>
        <w:rPr>
          <w:rFonts w:ascii="TimesNewRomanPSMT" w:hAnsi="TimesNewRomanPSMT"/>
          <w:color w:val="000000"/>
          <w:sz w:val="28"/>
          <w:szCs w:val="28"/>
        </w:rPr>
        <w:t>Щерба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Лев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ладимирович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distinguaient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deux styles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seulement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: </w:t>
      </w:r>
    </w:p>
    <w:p w:rsidR="004F3308" w:rsidRPr="007D1A04" w:rsidRDefault="004F3308" w:rsidP="004F3308">
      <w:pPr>
        <w:pStyle w:val="a3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 style plein (</w:t>
      </w:r>
      <w:r w:rsidRPr="007D1A04">
        <w:rPr>
          <w:rFonts w:ascii="TimesNewRomanPSMT" w:hAnsi="TimesNewRomanPSMT"/>
          <w:i/>
          <w:color w:val="000000"/>
          <w:sz w:val="28"/>
          <w:szCs w:val="28"/>
          <w:lang w:val="fr-FR"/>
        </w:rPr>
        <w:t>soutenu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) ;</w:t>
      </w:r>
    </w:p>
    <w:p w:rsidR="004F3308" w:rsidRPr="007D1A04" w:rsidRDefault="004F3308" w:rsidP="004F3308">
      <w:pPr>
        <w:pStyle w:val="a3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 style parler (</w:t>
      </w:r>
      <w:r w:rsidRPr="007D1A04">
        <w:rPr>
          <w:rFonts w:ascii="TimesNewRomanPSMT" w:hAnsi="TimesNewRomanPSMT"/>
          <w:i/>
          <w:color w:val="000000"/>
          <w:sz w:val="28"/>
          <w:szCs w:val="28"/>
          <w:lang w:val="fr-FR"/>
        </w:rPr>
        <w:t>familier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).</w:t>
      </w:r>
    </w:p>
    <w:p w:rsidR="004F3308" w:rsidRDefault="004F3308" w:rsidP="004F3308">
      <w:pPr>
        <w:ind w:firstLine="708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Une classification plus détaillée est proposée par Pierre Fouché qui distingue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quatre styles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de pronontiation appelés «débits»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</w:p>
    <w:p w:rsidR="004F3308" w:rsidRDefault="004F3308" w:rsidP="004F3308">
      <w:pPr>
        <w:ind w:left="708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1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le débit de la conversation familière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;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>2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le débit de la conversation soignée et de la lecture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;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>3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le débit de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la conférence ou du discours ;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br/>
        <w:t>4)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le débit de la diction des vers.</w:t>
      </w:r>
    </w:p>
    <w:p w:rsidR="004F3308" w:rsidRDefault="004F3308" w:rsidP="004F3308">
      <w:pPr>
        <w:ind w:firstLine="708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>La plus répandue est aujourd’hui la classification des styles de prononciation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en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trois grandes catégories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40E73">
        <w:rPr>
          <w:rFonts w:ascii="TimesNewRomanPSMT" w:hAnsi="TimesNewRomanPSMT"/>
          <w:color w:val="000000"/>
          <w:sz w:val="28"/>
          <w:szCs w:val="28"/>
          <w:lang w:val="fr-FR"/>
        </w:rPr>
        <w:t xml:space="preserve">: </w:t>
      </w:r>
    </w:p>
    <w:p w:rsidR="004F3308" w:rsidRPr="007D1A04" w:rsidRDefault="004F3308" w:rsidP="004F3308">
      <w:pPr>
        <w:pStyle w:val="a3"/>
        <w:numPr>
          <w:ilvl w:val="0"/>
          <w:numId w:val="1"/>
        </w:num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style recherché (soutenu)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 ;</w:t>
      </w:r>
    </w:p>
    <w:p w:rsidR="004F3308" w:rsidRPr="007D1A04" w:rsidRDefault="004F3308" w:rsidP="004F3308">
      <w:pPr>
        <w:pStyle w:val="a3"/>
        <w:numPr>
          <w:ilvl w:val="0"/>
          <w:numId w:val="1"/>
        </w:num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style moyen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 ;</w:t>
      </w:r>
    </w:p>
    <w:p w:rsidR="004F3308" w:rsidRPr="007D1A04" w:rsidRDefault="004F3308" w:rsidP="004F3308">
      <w:pPr>
        <w:pStyle w:val="a3"/>
        <w:numPr>
          <w:ilvl w:val="0"/>
          <w:numId w:val="1"/>
        </w:num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style familier.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b/>
          <w:color w:val="000000"/>
          <w:sz w:val="28"/>
          <w:szCs w:val="28"/>
          <w:lang w:val="fr-FR"/>
        </w:rPr>
        <w:t>Le style recherché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C’est le style de toutes sortes de discours prononcés devant un auditoire que 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sujet parlant cherche à convaincre, à toucher, à impressionner. Les traits de ce style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sont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[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également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]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présents dans la récitation des extraits de prose littéraire.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Dans tous ces cas on articule pour atteindre au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m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aximum de distinction entre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les phonèmes. La prononciation des voyelles et des consonnes reste distincte même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dans les syllabes inaccentuées.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Les 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 sont prononcés en plus grand nombre, souvent même à la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164B11">
        <w:rPr>
          <w:rFonts w:ascii="TimesNewRomanPSMT" w:hAnsi="TimesNewRomanPSMT"/>
          <w:sz w:val="28"/>
          <w:szCs w:val="28"/>
          <w:lang w:val="fr-FR"/>
        </w:rPr>
        <w:t xml:space="preserve">détente consonantique </w:t>
      </w:r>
      <w:r w:rsidRPr="00164B1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размыкание</w:t>
      </w:r>
      <w:r w:rsidRPr="00164B11">
        <w:rPr>
          <w:rFonts w:ascii="TimesNewRomanPSMT" w:hAnsi="TimesNewRomanPSMT"/>
          <w:color w:val="000000"/>
          <w:sz w:val="28"/>
          <w:szCs w:val="28"/>
          <w:lang w:val="fr-FR"/>
        </w:rPr>
        <w:t xml:space="preserve">)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de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mot (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veulent, monde, parade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). L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a prononciation des 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 prête au discours un ton solennel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4F3308" w:rsidRPr="00EB3F66" w:rsidRDefault="004F3308" w:rsidP="004F3308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 style recherché se caractérise aussi par un grand nombre de liaisons: on fait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toutes les liaisons obligatoires et un grand nombre de liaisons facultatives.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L’absence d’une liaison facultative peut s’expliquer par le besoin de l’expressivité: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la liaison est remplacée dans ce cas par </w:t>
      </w:r>
      <w:r w:rsidRPr="008C0812">
        <w:rPr>
          <w:rFonts w:ascii="TimesNewRomanPSMT" w:hAnsi="TimesNewRomanPSMT"/>
          <w:sz w:val="28"/>
          <w:szCs w:val="28"/>
          <w:u w:val="single"/>
          <w:lang w:val="fr-FR"/>
        </w:rPr>
        <w:t>le coup de glotte (</w:t>
      </w:r>
      <w:r w:rsidRPr="008C0812">
        <w:rPr>
          <w:rFonts w:ascii="TimesNewRomanPSMT" w:hAnsi="TimesNewRomanPSMT"/>
          <w:sz w:val="28"/>
          <w:szCs w:val="28"/>
          <w:u w:val="single"/>
        </w:rPr>
        <w:t>гортанный</w:t>
      </w:r>
      <w:r w:rsidRPr="008C0812">
        <w:rPr>
          <w:rFonts w:ascii="TimesNewRomanPSMT" w:hAnsi="TimesNewRomanPSMT"/>
          <w:sz w:val="28"/>
          <w:szCs w:val="28"/>
          <w:u w:val="single"/>
          <w:lang w:val="fr-FR"/>
        </w:rPr>
        <w:t xml:space="preserve"> </w:t>
      </w:r>
      <w:r w:rsidRPr="008C0812">
        <w:rPr>
          <w:rFonts w:ascii="TimesNewRomanPSMT" w:hAnsi="TimesNewRomanPSMT"/>
          <w:sz w:val="28"/>
          <w:szCs w:val="28"/>
          <w:u w:val="single"/>
        </w:rPr>
        <w:t>приступ</w:t>
      </w:r>
      <w:r w:rsidRPr="008C0812">
        <w:rPr>
          <w:rFonts w:ascii="TimesNewRomanPSMT" w:hAnsi="TimesNewRomanPSMT"/>
          <w:sz w:val="28"/>
          <w:szCs w:val="28"/>
          <w:u w:val="single"/>
          <w:lang w:val="fr-FR"/>
        </w:rPr>
        <w:t>)</w:t>
      </w:r>
      <w:r w:rsidRPr="008C0812">
        <w:rPr>
          <w:rFonts w:ascii="TimesNewRomanPSMT" w:hAnsi="TimesNewRomanPSMT"/>
          <w:sz w:val="28"/>
          <w:szCs w:val="28"/>
          <w:lang w:val="fr-FR"/>
        </w:rPr>
        <w:t xml:space="preserve"> : De Gaul: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C’est dans la /légalité, que / moi-même et mon / gouvernement</w:t>
      </w:r>
      <w:r w:rsidRPr="00EB3F66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,</w:t>
      </w:r>
      <w:r w:rsidRPr="00164B1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EB3F66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avons</w:t>
      </w:r>
      <w:r w:rsidRPr="00EB3F66">
        <w:rPr>
          <w:rFonts w:ascii="SymbolMT" w:hAnsi="SymbolMT"/>
          <w:i/>
          <w:color w:val="000000"/>
          <w:sz w:val="28"/>
          <w:szCs w:val="28"/>
          <w:lang w:val="fr-FR"/>
        </w:rPr>
        <w:t>∩</w:t>
      </w:r>
      <w:r w:rsidRPr="00EB3F66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assumé, avons assumé le mandat exceptionnel d’établir un projet de /constitution / nouvelle</w:t>
      </w:r>
      <w:r w:rsidRPr="00EB3F66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La prononciation des 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caducs, le grand nombre de liaisons ainsi que la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prononciation des co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n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sonnes doubles dans le style recher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ché s’expliquent par l’influence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de la forme écrite, de la graphie toujours consi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dérée comme une sorte d’idéal. 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Parmi les caractéristiques prosodiques du style recherché il faut mentionner en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premier lieu son débit ralenti. D’autre part, le style recherché se caractérise par un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grand nombre de pauses inattendues, inhabituelles, par une grande quantité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d’accents d’insistance, par l’augmentation des écarts mélodiques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EB3F66">
        <w:rPr>
          <w:rFonts w:ascii="TimesNewRomanPSMT" w:hAnsi="TimesNewRomanPSMT"/>
          <w:b/>
          <w:color w:val="000000"/>
          <w:sz w:val="28"/>
          <w:szCs w:val="28"/>
          <w:lang w:val="fr-FR"/>
        </w:rPr>
        <w:t>Style moyen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C’est le style des speakers de la radio et de la télévision dont la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prononciation reflète l’usage moyen, sans recherche (pour plaire au grand</w:t>
      </w:r>
      <w:r w:rsidRPr="008C081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public) et sans familiar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ité excessive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. C’est la prononciation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«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standard»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, c’est le modèle proposé à longueur de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journée à des millions de Français et celui qui a plus de chance de triompher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un jour. Le style moyen c’est aussi la prononciation des partenaires dans une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conversation officielle et soignée (à l’école ou à l’université, par exemple).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L’articulation des phonèmes reste assez nette dans ce cas. Pourtant dans 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positions inaccentuées on observe la confusion du timbre des voyelle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opposées: [</w:t>
      </w:r>
      <w:r w:rsidRPr="007D1A04">
        <w:rPr>
          <w:rFonts w:ascii="SymbolMT" w:hAnsi="SymbolMT"/>
          <w:color w:val="000000"/>
          <w:sz w:val="28"/>
          <w:szCs w:val="28"/>
        </w:rPr>
        <w:t>ε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- [e], par exemple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 :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maison = </w:t>
      </w:r>
      <w:r w:rsidRPr="00063649">
        <w:rPr>
          <w:rFonts w:ascii="TimesNewRomanPSMT" w:hAnsi="TimesNewRomanPSMT"/>
          <w:i/>
          <w:color w:val="000000"/>
          <w:sz w:val="28"/>
          <w:szCs w:val="28"/>
          <w:lang w:val="fr-FR"/>
        </w:rPr>
        <w:t>[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mezõ</w:t>
      </w:r>
      <w:r w:rsidRPr="00063649">
        <w:rPr>
          <w:rFonts w:ascii="TimesNewRomanPSMT" w:hAnsi="TimesNewRomanPSMT"/>
          <w:i/>
          <w:color w:val="000000"/>
          <w:sz w:val="28"/>
          <w:szCs w:val="28"/>
          <w:lang w:val="fr-FR"/>
        </w:rPr>
        <w:t>]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, etc.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On observe dans le style moyen une tendance à supprimer beaucoup de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liaisons facultatives et d’[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n(e) peux pas ;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ravis d(e) faire vot(re) connaissance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 ;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dès l(e) départ,</w:t>
      </w:r>
      <w:r w:rsidRPr="007D1A04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C’est le débit rapide qui prédomine dans le style moyen. Le rythme est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caractérisé par une distribution assez régulière des accents et des pauses. La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mélodie suit généralement la ligne normale utilisant quatre niveaux de tons.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063649">
        <w:rPr>
          <w:rFonts w:ascii="TimesNewRomanPSMT" w:hAnsi="TimesNewRomanPSMT"/>
          <w:b/>
          <w:color w:val="000000"/>
          <w:sz w:val="28"/>
          <w:szCs w:val="28"/>
          <w:lang w:val="fr-FR"/>
        </w:rPr>
        <w:t>Style familier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C’est le style de la prononciation employée dans une conversation entre 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amis intimes, les camarades de travail, entre les membres d’une famille, etc. Il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reflète un état spontané, détendu et une absence d’autocontrôle qui est propre aux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styles moyen et recherché. Le style familier répond au besoin de brièveté et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d’expressivité. Ce fait détermine l’amuïssement non seulement d’[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 mais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de bien des autres phonèmes et même syllabes. Pourtant l’ellipse des phonèmes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concerne des groupes de sons bien précis et se produit dans des conditions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déterminées. C’est là un critère important qui permet de séparer la prononciation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familière des personnes cultivées de la prononciation populaire qui n’est pas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conforme à la norme orthoépique.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Ainsi l’amuïssement de [b] dans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obstiné</w:t>
      </w:r>
      <w:r w:rsidRPr="007D1A04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063649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(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упрямый</w:t>
      </w:r>
      <w:r w:rsidRPr="008C0812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,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настойчивый</w:t>
      </w:r>
      <w:r w:rsidRPr="00063649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)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est considéré comme vulgaire tandis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que la chute des phonèmes dans l’expression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p(eu)t êt(re)</w:t>
      </w:r>
      <w:r w:rsidRPr="007D1A04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ne choque aucune</w:t>
      </w:r>
      <w:r w:rsidRPr="008C081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personne cultivée. Il y a donc des limites que la convention interdit de franchir.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En général la chute des phonèmes est possible dans des mots monosyllabiques</w:t>
      </w:r>
      <w:r w:rsidRPr="008C0812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à valeur grammaticale qui sont caract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é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risés par une haute fréquence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- dans les pronoms sujets ou complément</w:t>
      </w:r>
      <w:r w:rsidRPr="00063649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: </w:t>
      </w:r>
      <w:r w:rsidRPr="00063649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t(u) as, i(l)s ont dit</w:t>
      </w:r>
      <w:r w:rsidRPr="00063649">
        <w:rPr>
          <w:rFonts w:ascii="TimesNewRomanPSMT" w:hAnsi="TimesNewRomanPSMT"/>
          <w:color w:val="000000"/>
          <w:sz w:val="28"/>
          <w:szCs w:val="28"/>
          <w:lang w:val="fr-FR"/>
        </w:rPr>
        <w:t>;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- dans les prépositions et conjonctions: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m(ais) enfin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;</w:t>
      </w:r>
    </w:p>
    <w:p w:rsidR="004F3308" w:rsidRDefault="004F3308" w:rsidP="004F3308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- dans les verbes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avoir</w:t>
      </w:r>
      <w:r w:rsidRPr="007D1A04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être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: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c’(es)t assez </w:t>
      </w:r>
      <w:r w:rsidRPr="0063225D">
        <w:rPr>
          <w:rFonts w:ascii="SymbolMT" w:hAnsi="SymbolMT"/>
          <w:i/>
          <w:color w:val="000000"/>
          <w:lang w:val="fr-FR"/>
        </w:rPr>
        <w:t xml:space="preserve">→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[sase].</w:t>
      </w:r>
    </w:p>
    <w:p w:rsidR="004F3308" w:rsidRPr="008C0812" w:rsidRDefault="004F3308" w:rsidP="004F3308">
      <w:pPr>
        <w:ind w:firstLine="708"/>
        <w:jc w:val="both"/>
        <w:rPr>
          <w:rFonts w:ascii="TimesNewRomanPS-BoldMT" w:hAnsi="TimesNewRomanPS-BoldMT"/>
          <w:bCs/>
          <w:i/>
          <w:sz w:val="28"/>
          <w:szCs w:val="28"/>
          <w:lang w:val="fr-FR"/>
        </w:rPr>
      </w:pPr>
      <w:r w:rsidRPr="008C0812">
        <w:rPr>
          <w:rFonts w:ascii="TimesNewRomanPSMT" w:hAnsi="TimesNewRomanPSMT"/>
          <w:sz w:val="28"/>
          <w:szCs w:val="28"/>
          <w:lang w:val="fr-FR"/>
        </w:rPr>
        <w:t xml:space="preserve">Les consonnes s’amuïssent dans les groupes inséparables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tr, br, bl, pl</w:t>
      </w:r>
      <w:r w:rsidRPr="008C0812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 </w:t>
      </w:r>
      <w:r w:rsidRPr="008C0812">
        <w:rPr>
          <w:rFonts w:ascii="TimesNewRomanPSMT" w:hAnsi="TimesNewRomanPSMT"/>
          <w:sz w:val="28"/>
          <w:szCs w:val="28"/>
          <w:lang w:val="fr-FR"/>
        </w:rPr>
        <w:t>où la</w:t>
      </w:r>
      <w:r w:rsidRPr="008C0812">
        <w:rPr>
          <w:rFonts w:ascii="TimesNewRomanPSMT" w:hAnsi="TimesNewRomanPSMT"/>
          <w:sz w:val="28"/>
          <w:szCs w:val="28"/>
          <w:lang w:val="fr-FR"/>
        </w:rPr>
        <w:br/>
        <w:t>chute des son</w:t>
      </w:r>
      <w:r>
        <w:rPr>
          <w:rFonts w:ascii="TimesNewRomanPSMT" w:hAnsi="TimesNewRomanPSMT"/>
          <w:sz w:val="28"/>
          <w:szCs w:val="28"/>
          <w:lang w:val="fr-FR"/>
        </w:rPr>
        <w:t>(</w:t>
      </w:r>
      <w:r w:rsidRPr="008C0812">
        <w:rPr>
          <w:rFonts w:ascii="TimesNewRomanPSMT" w:hAnsi="TimesNewRomanPSMT"/>
          <w:sz w:val="28"/>
          <w:szCs w:val="28"/>
          <w:lang w:val="fr-FR"/>
        </w:rPr>
        <w:t>n</w:t>
      </w:r>
      <w:r>
        <w:rPr>
          <w:rFonts w:ascii="TimesNewRomanPSMT" w:hAnsi="TimesNewRomanPSMT"/>
          <w:sz w:val="28"/>
          <w:szCs w:val="28"/>
          <w:lang w:val="fr-FR"/>
        </w:rPr>
        <w:t>)</w:t>
      </w:r>
      <w:r w:rsidRPr="008C0812">
        <w:rPr>
          <w:rFonts w:ascii="TimesNewRomanPSMT" w:hAnsi="TimesNewRomanPSMT"/>
          <w:sz w:val="28"/>
          <w:szCs w:val="28"/>
          <w:lang w:val="fr-FR"/>
        </w:rPr>
        <w:t xml:space="preserve">antes est provoquée par leur position finale: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vot(re) fille </w:t>
      </w:r>
      <w:r w:rsidRPr="008C0812">
        <w:rPr>
          <w:rFonts w:ascii="TimesNewRomanPS-BoldMT" w:hAnsi="TimesNewRomanPS-BoldMT"/>
          <w:sz w:val="28"/>
          <w:szCs w:val="28"/>
          <w:lang w:val="fr-FR"/>
        </w:rPr>
        <w:t>;</w:t>
      </w:r>
      <w:r w:rsidRPr="008C0812">
        <w:rPr>
          <w:rFonts w:ascii="TimesNewRomanPS-BoldMT" w:hAnsi="TimesNewRomanPS-BoldMT"/>
          <w:sz w:val="28"/>
          <w:szCs w:val="28"/>
          <w:lang w:val="fr-FR"/>
        </w:rPr>
        <w:br/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des aut(re)s élèves.</w:t>
      </w:r>
    </w:p>
    <w:p w:rsidR="004F3308" w:rsidRPr="008C0812" w:rsidRDefault="004F3308" w:rsidP="004F3308">
      <w:pPr>
        <w:ind w:firstLine="708"/>
        <w:jc w:val="both"/>
        <w:rPr>
          <w:rFonts w:ascii="TimesNewRomanPSMT" w:hAnsi="TimesNewRomanPSMT"/>
          <w:sz w:val="28"/>
          <w:szCs w:val="28"/>
          <w:lang w:val="fr-FR"/>
        </w:rPr>
      </w:pPr>
      <w:r w:rsidRPr="008C0812">
        <w:rPr>
          <w:rFonts w:ascii="TimesNewRomanPSMT" w:hAnsi="TimesNewRomanPSMT"/>
          <w:sz w:val="28"/>
          <w:szCs w:val="28"/>
          <w:lang w:val="fr-FR"/>
        </w:rPr>
        <w:t xml:space="preserve">Fréquente est la chute des semi-consonnes :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p(u)is, voilà [vala] </w:t>
      </w:r>
      <w:r w:rsidRPr="008C0812">
        <w:rPr>
          <w:rFonts w:ascii="SymbolMT" w:hAnsi="SymbolMT"/>
          <w:i/>
          <w:lang w:val="fr-FR"/>
        </w:rPr>
        <w:t xml:space="preserve">→ </w:t>
      </w:r>
      <w:r w:rsidRPr="008C0812">
        <w:rPr>
          <w:rFonts w:ascii="TimesNewRomanPS-BoldMT" w:hAnsi="TimesNewRomanPS-BoldMT"/>
          <w:bCs/>
          <w:i/>
          <w:sz w:val="28"/>
          <w:szCs w:val="28"/>
          <w:lang w:val="fr-FR"/>
        </w:rPr>
        <w:t>[vla].</w:t>
      </w:r>
      <w:r w:rsidRPr="008C0812">
        <w:rPr>
          <w:rFonts w:ascii="TimesNewRomanPS-BoldMT" w:hAnsi="TimesNewRomanPS-BoldMT"/>
          <w:i/>
          <w:sz w:val="28"/>
          <w:szCs w:val="28"/>
          <w:lang w:val="fr-FR"/>
        </w:rPr>
        <w:br/>
      </w:r>
      <w:r w:rsidRPr="008C0812">
        <w:rPr>
          <w:rFonts w:ascii="TimesNewRomanPSMT" w:hAnsi="TimesNewRomanPSMT"/>
          <w:sz w:val="28"/>
          <w:szCs w:val="28"/>
          <w:lang w:val="fr-FR"/>
        </w:rPr>
        <w:t>L’amuïssement des phonèmes en style familier n’est jamais mis en relief (</w:t>
      </w:r>
      <w:r w:rsidRPr="008C0812">
        <w:rPr>
          <w:rFonts w:ascii="TimesNewRomanPSMT" w:hAnsi="TimesNewRomanPSMT"/>
          <w:sz w:val="28"/>
          <w:szCs w:val="28"/>
        </w:rPr>
        <w:t>не</w:t>
      </w:r>
      <w:r w:rsidRPr="008C0812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Pr="008C0812">
        <w:rPr>
          <w:rFonts w:ascii="TimesNewRomanPSMT" w:hAnsi="TimesNewRomanPSMT"/>
          <w:sz w:val="28"/>
          <w:szCs w:val="28"/>
        </w:rPr>
        <w:t>выделяется</w:t>
      </w:r>
      <w:r w:rsidRPr="008C0812">
        <w:rPr>
          <w:rFonts w:ascii="TimesNewRomanPSMT" w:hAnsi="TimesNewRomanPSMT"/>
          <w:sz w:val="28"/>
          <w:szCs w:val="28"/>
          <w:lang w:val="fr-FR"/>
        </w:rPr>
        <w:t>). On articule dans ce cas très légèrement et vite.</w:t>
      </w:r>
    </w:p>
    <w:p w:rsidR="004F3308" w:rsidRDefault="004F3308" w:rsidP="004F3308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Une autre particularité du style familier est la tendance à supprimer un très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grand nombre de liaisons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suis allé ;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63225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ça doit être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Une autre tendance qui se manifeste dans le style familier c’est la tendance à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l’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accentuation expressive.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Au niveau prosodique le style familier se caractérise par les pauses et les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phénomènes d’hésitation. Souvent les pauses sont remplies par «euh». Le rythme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est le plus souvent rapide, l’intonation est très expressive.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3225D">
        <w:rPr>
          <w:rFonts w:ascii="TimesNewRomanPSMT" w:hAnsi="TimesNewRomanPSMT"/>
          <w:b/>
          <w:color w:val="000000"/>
          <w:sz w:val="28"/>
          <w:szCs w:val="28"/>
          <w:lang w:val="fr-FR"/>
        </w:rPr>
        <w:t>Résumé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Les variantes de la prononciation sont étudiées par la phonostylistique dont les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 xml:space="preserve">fondements ont été creusés par le linguiste russe N.S. 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Николай</w:t>
      </w:r>
      <w:r w:rsidRPr="0063225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Сергеевич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)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Troubetskoï.</w:t>
      </w:r>
    </w:p>
    <w:p w:rsidR="004F3308" w:rsidRDefault="004F3308" w:rsidP="004F330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La norme orthoépique évolue constamment, admet certaines variantes, mais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impose des restrictions, des limites qu’on ne peut pas franchir.</w:t>
      </w:r>
      <w:r w:rsidRPr="0063225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On considère aujourd’hui comme norme orthoépique la prononciation des</w:t>
      </w:r>
      <w:r w:rsidRPr="0063225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speakers de la radio et</w:t>
      </w:r>
      <w:r w:rsidRPr="001752E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de la télévision.</w:t>
      </w:r>
    </w:p>
    <w:p w:rsidR="009C4288" w:rsidRPr="004F3308" w:rsidRDefault="004F3308" w:rsidP="004F3308">
      <w:pPr>
        <w:rPr>
          <w:lang w:val="fr-FR"/>
        </w:rPr>
      </w:pP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La classification des styles de la prononciation la plus répandue distingue trois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styles: recherché, moyen, familier. Chaque style diffère des autres par l’articulation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des sons, par le nombre de liaisons et de [</w:t>
      </w:r>
      <w:r w:rsidRPr="007D1A04">
        <w:rPr>
          <w:rFonts w:ascii="ArialMT" w:hAnsi="ArialMT"/>
          <w:color w:val="000000"/>
          <w:sz w:val="28"/>
          <w:szCs w:val="28"/>
          <w:lang w:val="fr-FR"/>
        </w:rPr>
        <w:t>ə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t>] caducs, par les caractéristiques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  <w:t>prosodiques.</w:t>
      </w:r>
      <w:r w:rsidRPr="007D1A04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bookmarkStart w:id="0" w:name="_GoBack"/>
      <w:bookmarkEnd w:id="0"/>
    </w:p>
    <w:sectPr w:rsidR="009C4288" w:rsidRPr="004F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5A4"/>
    <w:multiLevelType w:val="hybridMultilevel"/>
    <w:tmpl w:val="2B98DD6A"/>
    <w:lvl w:ilvl="0" w:tplc="9D6A594C">
      <w:start w:val="1"/>
      <w:numFmt w:val="decimal"/>
      <w:lvlText w:val="%1)"/>
      <w:lvlJc w:val="left"/>
      <w:pPr>
        <w:ind w:left="106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0D1581"/>
    <w:multiLevelType w:val="hybridMultilevel"/>
    <w:tmpl w:val="2C3AFA72"/>
    <w:lvl w:ilvl="0" w:tplc="3A4A8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F"/>
    <w:rsid w:val="004F3308"/>
    <w:rsid w:val="009C4288"/>
    <w:rsid w:val="00F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4278-B720-4AC0-B354-FCFC1BF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2020-09-03T05:52:00Z</dcterms:created>
  <dcterms:modified xsi:type="dcterms:W3CDTF">2020-09-03T05:52:00Z</dcterms:modified>
</cp:coreProperties>
</file>