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41" w:rsidRDefault="008459B7" w:rsidP="00351F41">
      <w:pPr>
        <w:ind w:firstLine="567"/>
        <w:jc w:val="left"/>
        <w:rPr>
          <w:lang w:val="uk-UA"/>
        </w:rPr>
      </w:pPr>
      <w:r>
        <w:rPr>
          <w:lang w:val="uk-UA"/>
        </w:rPr>
        <w:t>Заняття 3</w:t>
      </w:r>
    </w:p>
    <w:p w:rsidR="00351F41" w:rsidRDefault="00351F41" w:rsidP="00351F41">
      <w:pPr>
        <w:ind w:firstLine="567"/>
        <w:jc w:val="left"/>
        <w:rPr>
          <w:szCs w:val="28"/>
          <w:lang w:val="uk-UA"/>
        </w:rPr>
      </w:pPr>
      <w:r>
        <w:rPr>
          <w:lang w:val="uk-UA"/>
        </w:rPr>
        <w:t xml:space="preserve">Тема: </w:t>
      </w:r>
      <w:r>
        <w:rPr>
          <w:szCs w:val="28"/>
          <w:lang w:val="uk-UA"/>
        </w:rPr>
        <w:t>Романтизм як загальноєвропейський напрямок у музичному мистецтві XIX – початку ХХ століття</w:t>
      </w:r>
    </w:p>
    <w:p w:rsidR="00351F41" w:rsidRDefault="00351F41" w:rsidP="00351F41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1. Естетика та стильові риси  фортепіанних творів Р. </w:t>
      </w:r>
      <w:proofErr w:type="spellStart"/>
      <w:r>
        <w:rPr>
          <w:lang w:val="uk-UA"/>
        </w:rPr>
        <w:t>Шумана</w:t>
      </w:r>
      <w:proofErr w:type="spellEnd"/>
      <w:r>
        <w:rPr>
          <w:lang w:val="uk-UA"/>
        </w:rPr>
        <w:t>.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2. Характеристика «Карнавалу», «</w:t>
      </w:r>
      <w:proofErr w:type="spellStart"/>
      <w:r>
        <w:rPr>
          <w:lang w:val="uk-UA"/>
        </w:rPr>
        <w:t>Крейслеріани</w:t>
      </w:r>
      <w:proofErr w:type="spellEnd"/>
      <w:r>
        <w:rPr>
          <w:lang w:val="uk-UA"/>
        </w:rPr>
        <w:t>» та «Симфонічних етюдів» Р. </w:t>
      </w:r>
      <w:proofErr w:type="spellStart"/>
      <w:r>
        <w:rPr>
          <w:lang w:val="uk-UA"/>
        </w:rPr>
        <w:t>Шумана</w:t>
      </w:r>
      <w:proofErr w:type="spellEnd"/>
      <w:r>
        <w:rPr>
          <w:lang w:val="uk-UA"/>
        </w:rPr>
        <w:t xml:space="preserve">. 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3. Вокальні цикли Р. </w:t>
      </w:r>
      <w:proofErr w:type="spellStart"/>
      <w:r>
        <w:rPr>
          <w:lang w:val="uk-UA"/>
        </w:rPr>
        <w:t>Шумана</w:t>
      </w:r>
      <w:proofErr w:type="spellEnd"/>
      <w:r>
        <w:rPr>
          <w:lang w:val="uk-UA"/>
        </w:rPr>
        <w:t>.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4. Фортепіанна творчість Й. Брамса. Концерт №1 для фортепіано з оркестром.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5. Симфонічні твори Й. Брамса.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6. Ф. Ліст – творець одночасної фортепіанної сонати.</w:t>
      </w:r>
    </w:p>
    <w:p w:rsidR="00351F41" w:rsidRDefault="00351F41" w:rsidP="00351F41">
      <w:pPr>
        <w:tabs>
          <w:tab w:val="left" w:pos="1510"/>
        </w:tabs>
        <w:ind w:firstLine="0"/>
        <w:jc w:val="left"/>
        <w:rPr>
          <w:lang w:val="uk-UA"/>
        </w:rPr>
      </w:pPr>
    </w:p>
    <w:p w:rsidR="00351F41" w:rsidRDefault="008459B7" w:rsidP="00351F41">
      <w:pPr>
        <w:ind w:left="567" w:firstLine="0"/>
        <w:jc w:val="left"/>
        <w:rPr>
          <w:lang w:val="uk-UA"/>
        </w:rPr>
      </w:pPr>
      <w:r>
        <w:rPr>
          <w:lang w:val="uk-UA"/>
        </w:rPr>
        <w:t>Заняття 4</w:t>
      </w:r>
      <w:r w:rsidR="00351F41">
        <w:rPr>
          <w:lang w:val="uk-UA"/>
        </w:rPr>
        <w:t xml:space="preserve">. </w:t>
      </w:r>
    </w:p>
    <w:p w:rsidR="00351F41" w:rsidRDefault="00351F41" w:rsidP="00351F41">
      <w:pPr>
        <w:ind w:left="567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Тема: Стильове р</w:t>
      </w:r>
      <w:r w:rsidR="008459B7">
        <w:rPr>
          <w:szCs w:val="28"/>
          <w:lang w:val="uk-UA"/>
        </w:rPr>
        <w:t xml:space="preserve">озмаїття європейської музики ХХ-ХХІ </w:t>
      </w:r>
      <w:r>
        <w:rPr>
          <w:szCs w:val="28"/>
          <w:lang w:val="uk-UA"/>
        </w:rPr>
        <w:t>століття: традиції та новації</w:t>
      </w:r>
    </w:p>
    <w:p w:rsidR="00351F41" w:rsidRDefault="00351F41" w:rsidP="00351F41">
      <w:pPr>
        <w:ind w:left="567"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1. Педагогічна система музичного виховання К. </w:t>
      </w:r>
      <w:proofErr w:type="spellStart"/>
      <w:r>
        <w:rPr>
          <w:lang w:val="uk-UA"/>
        </w:rPr>
        <w:t>Орфа</w:t>
      </w:r>
      <w:proofErr w:type="spellEnd"/>
      <w:r>
        <w:rPr>
          <w:lang w:val="uk-UA"/>
        </w:rPr>
        <w:t>.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2. Музика для дітей Б. </w:t>
      </w:r>
      <w:proofErr w:type="spellStart"/>
      <w:r>
        <w:rPr>
          <w:lang w:val="uk-UA"/>
        </w:rPr>
        <w:t>Бартока</w:t>
      </w:r>
      <w:proofErr w:type="spellEnd"/>
      <w:r>
        <w:rPr>
          <w:lang w:val="uk-UA"/>
        </w:rPr>
        <w:t xml:space="preserve">. 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3. Фортепіанні твори А. </w:t>
      </w:r>
      <w:proofErr w:type="spellStart"/>
      <w:r>
        <w:rPr>
          <w:lang w:val="uk-UA"/>
        </w:rPr>
        <w:t>Онеггера</w:t>
      </w:r>
      <w:proofErr w:type="spellEnd"/>
      <w:r>
        <w:rPr>
          <w:lang w:val="uk-UA"/>
        </w:rPr>
        <w:t>.</w:t>
      </w:r>
    </w:p>
    <w:p w:rsidR="00351F41" w:rsidRDefault="00351F41" w:rsidP="00351F41">
      <w:pPr>
        <w:ind w:firstLine="0"/>
        <w:jc w:val="left"/>
        <w:rPr>
          <w:lang w:val="uk-UA"/>
        </w:rPr>
      </w:pPr>
      <w:r>
        <w:rPr>
          <w:lang w:val="uk-UA"/>
        </w:rPr>
        <w:t>4. Основні тенденції розвитку симфонічних жанрів у творчості Б. </w:t>
      </w:r>
      <w:proofErr w:type="spellStart"/>
      <w:r>
        <w:rPr>
          <w:lang w:val="uk-UA"/>
        </w:rPr>
        <w:t>Бріттена</w:t>
      </w:r>
      <w:proofErr w:type="spellEnd"/>
      <w:r>
        <w:rPr>
          <w:lang w:val="uk-UA"/>
        </w:rPr>
        <w:t>.</w:t>
      </w:r>
    </w:p>
    <w:p w:rsidR="00351F41" w:rsidRDefault="00BB350C" w:rsidP="00351F41">
      <w:pPr>
        <w:pStyle w:val="a3"/>
        <w:ind w:left="0" w:firstLine="0"/>
        <w:jc w:val="left"/>
        <w:rPr>
          <w:lang w:val="uk-UA"/>
        </w:rPr>
      </w:pPr>
      <w:r>
        <w:rPr>
          <w:lang w:val="uk-UA"/>
        </w:rPr>
        <w:t>5</w:t>
      </w:r>
      <w:r w:rsidR="00351F41">
        <w:rPr>
          <w:lang w:val="uk-UA"/>
        </w:rPr>
        <w:t>. «</w:t>
      </w:r>
      <w:proofErr w:type="spellStart"/>
      <w:r w:rsidR="00351F41">
        <w:rPr>
          <w:lang w:val="uk-UA"/>
        </w:rPr>
        <w:t>Лунн</w:t>
      </w:r>
      <w:proofErr w:type="spellEnd"/>
      <w:r w:rsidR="00351F41">
        <w:t>ы</w:t>
      </w:r>
      <w:r w:rsidR="00351F41">
        <w:rPr>
          <w:lang w:val="uk-UA"/>
        </w:rPr>
        <w:t xml:space="preserve">й </w:t>
      </w:r>
      <w:proofErr w:type="spellStart"/>
      <w:r w:rsidR="00351F41">
        <w:rPr>
          <w:lang w:val="uk-UA"/>
        </w:rPr>
        <w:t>Пьерро</w:t>
      </w:r>
      <w:proofErr w:type="spellEnd"/>
      <w:r w:rsidR="00351F41">
        <w:rPr>
          <w:lang w:val="uk-UA"/>
        </w:rPr>
        <w:t>» А. </w:t>
      </w:r>
      <w:proofErr w:type="spellStart"/>
      <w:r w:rsidR="00351F41">
        <w:rPr>
          <w:lang w:val="uk-UA"/>
        </w:rPr>
        <w:t>Шонберга</w:t>
      </w:r>
      <w:proofErr w:type="spellEnd"/>
      <w:r w:rsidR="00351F41">
        <w:rPr>
          <w:lang w:val="uk-UA"/>
        </w:rPr>
        <w:t xml:space="preserve">. </w:t>
      </w:r>
    </w:p>
    <w:p w:rsidR="00351F41" w:rsidRDefault="00BB350C" w:rsidP="00351F41">
      <w:pPr>
        <w:pStyle w:val="a3"/>
        <w:ind w:left="0" w:firstLine="0"/>
        <w:jc w:val="left"/>
        <w:rPr>
          <w:lang w:val="uk-UA"/>
        </w:rPr>
      </w:pPr>
      <w:r>
        <w:rPr>
          <w:lang w:val="uk-UA"/>
        </w:rPr>
        <w:t>6</w:t>
      </w:r>
      <w:r w:rsidR="00351F41">
        <w:rPr>
          <w:lang w:val="uk-UA"/>
        </w:rPr>
        <w:t>. «</w:t>
      </w:r>
      <w:proofErr w:type="spellStart"/>
      <w:r w:rsidR="00351F41">
        <w:rPr>
          <w:lang w:val="uk-UA"/>
        </w:rPr>
        <w:t>Детский</w:t>
      </w:r>
      <w:proofErr w:type="spellEnd"/>
      <w:r w:rsidR="00351F41">
        <w:rPr>
          <w:lang w:val="uk-UA"/>
        </w:rPr>
        <w:t xml:space="preserve"> </w:t>
      </w:r>
      <w:proofErr w:type="spellStart"/>
      <w:r w:rsidR="00351F41">
        <w:rPr>
          <w:lang w:val="uk-UA"/>
        </w:rPr>
        <w:t>уголок</w:t>
      </w:r>
      <w:proofErr w:type="spellEnd"/>
      <w:r w:rsidR="00351F41">
        <w:rPr>
          <w:lang w:val="uk-UA"/>
        </w:rPr>
        <w:t xml:space="preserve">» К. Дебюссі. </w:t>
      </w:r>
    </w:p>
    <w:p w:rsidR="00351F41" w:rsidRDefault="00BB350C" w:rsidP="00351F41">
      <w:pPr>
        <w:pStyle w:val="a3"/>
        <w:ind w:left="0" w:firstLine="0"/>
        <w:jc w:val="left"/>
        <w:rPr>
          <w:lang w:val="uk-UA"/>
        </w:rPr>
      </w:pPr>
      <w:r>
        <w:rPr>
          <w:lang w:val="uk-UA"/>
        </w:rPr>
        <w:t>7</w:t>
      </w:r>
      <w:r w:rsidR="00351F41">
        <w:rPr>
          <w:lang w:val="uk-UA"/>
        </w:rPr>
        <w:t>. «Музика для струнних, ударних та челести» Б. </w:t>
      </w:r>
      <w:proofErr w:type="spellStart"/>
      <w:r w:rsidR="00351F41">
        <w:rPr>
          <w:lang w:val="uk-UA"/>
        </w:rPr>
        <w:t>Бартока</w:t>
      </w:r>
      <w:proofErr w:type="spellEnd"/>
      <w:r w:rsidR="00351F41">
        <w:rPr>
          <w:lang w:val="uk-UA"/>
        </w:rPr>
        <w:t>.</w:t>
      </w:r>
    </w:p>
    <w:p w:rsidR="00351F41" w:rsidRDefault="00BB350C" w:rsidP="00351F41">
      <w:pPr>
        <w:pStyle w:val="a3"/>
        <w:ind w:left="0" w:firstLine="0"/>
        <w:jc w:val="left"/>
      </w:pPr>
      <w:r>
        <w:rPr>
          <w:lang w:val="uk-UA"/>
        </w:rPr>
        <w:t>8</w:t>
      </w:r>
      <w:r w:rsidR="00351F41">
        <w:rPr>
          <w:lang w:val="uk-UA"/>
        </w:rPr>
        <w:t>. «</w:t>
      </w:r>
      <w:proofErr w:type="spellStart"/>
      <w:r w:rsidR="00351F41">
        <w:rPr>
          <w:lang w:val="uk-UA"/>
        </w:rPr>
        <w:t>Благородные</w:t>
      </w:r>
      <w:proofErr w:type="spellEnd"/>
      <w:r w:rsidR="00351F41">
        <w:rPr>
          <w:lang w:val="uk-UA"/>
        </w:rPr>
        <w:t xml:space="preserve"> и </w:t>
      </w:r>
      <w:proofErr w:type="spellStart"/>
      <w:r w:rsidR="00351F41">
        <w:rPr>
          <w:lang w:val="uk-UA"/>
        </w:rPr>
        <w:t>сентиментальн</w:t>
      </w:r>
      <w:r w:rsidR="00351F41">
        <w:t>ые</w:t>
      </w:r>
      <w:proofErr w:type="spellEnd"/>
      <w:r w:rsidR="00351F41">
        <w:t xml:space="preserve"> вальсы» М. Равеля.</w:t>
      </w:r>
    </w:p>
    <w:p w:rsidR="00351F41" w:rsidRDefault="00351F41" w:rsidP="00351F41">
      <w:pPr>
        <w:ind w:firstLine="0"/>
        <w:jc w:val="left"/>
        <w:rPr>
          <w:lang w:val="uk-UA"/>
        </w:rPr>
      </w:pPr>
    </w:p>
    <w:p w:rsidR="005C006E" w:rsidRDefault="0041420A">
      <w:pPr>
        <w:rPr>
          <w:lang w:val="uk-UA"/>
        </w:rPr>
      </w:pPr>
      <w:r>
        <w:rPr>
          <w:lang w:val="uk-UA"/>
        </w:rPr>
        <w:t xml:space="preserve">Заняття 5. </w:t>
      </w:r>
    </w:p>
    <w:p w:rsidR="0041420A" w:rsidRDefault="0041420A">
      <w:pPr>
        <w:rPr>
          <w:lang w:val="uk-UA"/>
        </w:rPr>
      </w:pPr>
      <w:r>
        <w:rPr>
          <w:lang w:val="uk-UA"/>
        </w:rPr>
        <w:t>Тема: Композиторські школи та угрупування в західноєвропейському музичному мистецтві другої половини ХХ століття.</w:t>
      </w:r>
    </w:p>
    <w:p w:rsidR="0041420A" w:rsidRDefault="0041420A" w:rsidP="0041420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Філософські та загально-естетичні засади </w:t>
      </w:r>
      <w:proofErr w:type="spellStart"/>
      <w:r>
        <w:rPr>
          <w:lang w:val="uk-UA"/>
        </w:rPr>
        <w:t>модернізму</w:t>
      </w:r>
      <w:r w:rsidR="003D4C08">
        <w:rPr>
          <w:lang w:val="uk-UA"/>
        </w:rPr>
        <w:t>другої</w:t>
      </w:r>
      <w:proofErr w:type="spellEnd"/>
      <w:r w:rsidR="003D4C08">
        <w:rPr>
          <w:lang w:val="uk-UA"/>
        </w:rPr>
        <w:t xml:space="preserve"> половини ХХ століття.</w:t>
      </w:r>
    </w:p>
    <w:p w:rsidR="003D4C08" w:rsidRDefault="003D4C08" w:rsidP="0041420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Авангард як предмет вивчення.</w:t>
      </w:r>
    </w:p>
    <w:p w:rsidR="003D4C08" w:rsidRPr="0041420A" w:rsidRDefault="003D4C08" w:rsidP="0041420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Уз</w:t>
      </w:r>
      <w:bookmarkStart w:id="0" w:name="_GoBack"/>
      <w:bookmarkEnd w:id="0"/>
      <w:r>
        <w:rPr>
          <w:lang w:val="uk-UA"/>
        </w:rPr>
        <w:t xml:space="preserve">агальнення щодо філософії естетики </w:t>
      </w:r>
      <w:proofErr w:type="spellStart"/>
      <w:r>
        <w:rPr>
          <w:lang w:val="uk-UA"/>
        </w:rPr>
        <w:t>авангардістських</w:t>
      </w:r>
      <w:proofErr w:type="spellEnd"/>
      <w:r>
        <w:rPr>
          <w:lang w:val="uk-UA"/>
        </w:rPr>
        <w:t xml:space="preserve"> угрупувань.</w:t>
      </w:r>
    </w:p>
    <w:sectPr w:rsidR="003D4C08" w:rsidRPr="004142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34206"/>
    <w:multiLevelType w:val="hybridMultilevel"/>
    <w:tmpl w:val="B6C63E62"/>
    <w:lvl w:ilvl="0" w:tplc="7B10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6C"/>
    <w:rsid w:val="001D5934"/>
    <w:rsid w:val="003157B9"/>
    <w:rsid w:val="00351F41"/>
    <w:rsid w:val="003D4C08"/>
    <w:rsid w:val="003E53A1"/>
    <w:rsid w:val="0041052A"/>
    <w:rsid w:val="0041420A"/>
    <w:rsid w:val="006C25AB"/>
    <w:rsid w:val="00785ACA"/>
    <w:rsid w:val="008459B7"/>
    <w:rsid w:val="00880B16"/>
    <w:rsid w:val="008F2F3C"/>
    <w:rsid w:val="00AA496C"/>
    <w:rsid w:val="00BB350C"/>
    <w:rsid w:val="00C26DE6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D17C-7F03-44FE-A137-38120E7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4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2020-09-04T12:28:00Z</dcterms:created>
  <dcterms:modified xsi:type="dcterms:W3CDTF">2020-09-04T12:56:00Z</dcterms:modified>
</cp:coreProperties>
</file>