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54" w:rsidRPr="002D2214" w:rsidRDefault="00B83154" w:rsidP="002D2214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2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Підготувати презентацію </w:t>
      </w:r>
      <w:proofErr w:type="spellStart"/>
      <w:r w:rsidRPr="002D2214">
        <w:rPr>
          <w:rFonts w:ascii="Times New Roman" w:eastAsia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2D2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14">
        <w:rPr>
          <w:rFonts w:ascii="Times New Roman" w:eastAsia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2D2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(теми за вибором студентів):</w:t>
      </w:r>
    </w:p>
    <w:p w:rsidR="00B83154" w:rsidRDefault="00B83154" w:rsidP="00B8315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«Принципи мистецького навчання в практиці загальноосвітньої школи»</w:t>
      </w:r>
    </w:p>
    <w:p w:rsidR="00B83154" w:rsidRDefault="00B83154" w:rsidP="00B8315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Міжсуб’єктне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спілкування у навчанні мистецтву»</w:t>
      </w:r>
    </w:p>
    <w:p w:rsidR="00B83154" w:rsidRDefault="00B83154" w:rsidP="00B8315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Рольові ігри в мистецькому навчанні»</w:t>
      </w:r>
    </w:p>
    <w:p w:rsidR="00B83154" w:rsidRDefault="00B83154" w:rsidP="00B8315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E9E" w:rsidRPr="00FB7E9E" w:rsidRDefault="002D2214" w:rsidP="00E40934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Написати реферат на одну </w:t>
      </w:r>
      <w:r w:rsidR="00B83154" w:rsidRPr="00FB7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тем </w:t>
      </w:r>
      <w:r w:rsidR="00FB7E9E" w:rsidRPr="00FB7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Розділу </w:t>
      </w:r>
      <w:r w:rsidR="00FB7E9E" w:rsidRPr="00FB7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(тема за вибором студента):</w:t>
      </w:r>
    </w:p>
    <w:p w:rsidR="00FB7E9E" w:rsidRPr="00FB7E9E" w:rsidRDefault="00FB7E9E" w:rsidP="00FB7E9E">
      <w:pPr>
        <w:pStyle w:val="a3"/>
        <w:tabs>
          <w:tab w:val="left" w:pos="4536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«Значення філософії мистецької освіти для удосконалення теорії і практики навчально-виховного процесу»; </w:t>
      </w:r>
    </w:p>
    <w:p w:rsidR="00FB7E9E" w:rsidRPr="00FB7E9E" w:rsidRDefault="00FB7E9E" w:rsidP="00FB7E9E">
      <w:pPr>
        <w:pStyle w:val="a3"/>
        <w:tabs>
          <w:tab w:val="left" w:pos="4536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E9E">
        <w:rPr>
          <w:rFonts w:ascii="Times New Roman" w:eastAsia="Times New Roman" w:hAnsi="Times New Roman" w:cs="Times New Roman"/>
          <w:color w:val="000000"/>
          <w:sz w:val="28"/>
          <w:szCs w:val="28"/>
        </w:rPr>
        <w:t>2. «Культурологічний вплив мистецтва на розвиток особистості»;</w:t>
      </w:r>
    </w:p>
    <w:p w:rsidR="00FB7E9E" w:rsidRPr="00FB7E9E" w:rsidRDefault="00FB7E9E" w:rsidP="00FB7E9E">
      <w:pPr>
        <w:pStyle w:val="a3"/>
        <w:tabs>
          <w:tab w:val="left" w:pos="4536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E9E">
        <w:rPr>
          <w:rFonts w:ascii="Times New Roman" w:eastAsia="Times New Roman" w:hAnsi="Times New Roman" w:cs="Times New Roman"/>
          <w:color w:val="000000"/>
          <w:sz w:val="28"/>
          <w:szCs w:val="28"/>
        </w:rPr>
        <w:t>3. «Світоглядний зміст мистецтва».</w:t>
      </w:r>
    </w:p>
    <w:p w:rsidR="00FB7E9E" w:rsidRPr="00FB7E9E" w:rsidRDefault="00FB7E9E" w:rsidP="00FB7E9E">
      <w:pPr>
        <w:pStyle w:val="a3"/>
        <w:tabs>
          <w:tab w:val="left" w:pos="4536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B7E9E">
        <w:rPr>
          <w:rFonts w:ascii="Times New Roman" w:eastAsia="Times New Roman" w:hAnsi="Times New Roman" w:cs="Times New Roman"/>
          <w:color w:val="000000"/>
          <w:sz w:val="28"/>
          <w:szCs w:val="28"/>
        </w:rPr>
        <w:t>4. «Символічність художнього образу як критерій функціонування мистецтва»</w:t>
      </w:r>
    </w:p>
    <w:p w:rsidR="00CD0B58" w:rsidRDefault="00CD0B58"/>
    <w:sectPr w:rsidR="00CD0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0053"/>
    <w:multiLevelType w:val="hybridMultilevel"/>
    <w:tmpl w:val="69FA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D0"/>
    <w:rsid w:val="000D1219"/>
    <w:rsid w:val="002D2214"/>
    <w:rsid w:val="00366509"/>
    <w:rsid w:val="00401B4C"/>
    <w:rsid w:val="0045140E"/>
    <w:rsid w:val="006B6AD0"/>
    <w:rsid w:val="007630CB"/>
    <w:rsid w:val="00A11603"/>
    <w:rsid w:val="00B06452"/>
    <w:rsid w:val="00B2638B"/>
    <w:rsid w:val="00B83154"/>
    <w:rsid w:val="00CD0B58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D9823-AE56-4415-9738-63D0F069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154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2021-10-18T11:39:00Z</dcterms:created>
  <dcterms:modified xsi:type="dcterms:W3CDTF">2021-10-18T11:47:00Z</dcterms:modified>
</cp:coreProperties>
</file>