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E2" w:rsidRPr="00513224" w:rsidRDefault="000404E2" w:rsidP="0004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322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</w:t>
      </w:r>
    </w:p>
    <w:p w:rsidR="000404E2" w:rsidRPr="00513224" w:rsidRDefault="000404E2" w:rsidP="0004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3224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міжнародних організацій у сфері запобігання та протидії злочинам та іншим протиправним діянням</w:t>
      </w:r>
    </w:p>
    <w:p w:rsidR="000404E2" w:rsidRPr="00513224" w:rsidRDefault="000404E2" w:rsidP="0004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322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404E2" w:rsidRPr="00513224" w:rsidRDefault="000404E2" w:rsidP="000404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224">
        <w:rPr>
          <w:rFonts w:ascii="Times New Roman" w:hAnsi="Times New Roman" w:cs="Times New Roman"/>
          <w:bCs/>
          <w:sz w:val="28"/>
          <w:szCs w:val="28"/>
          <w:lang w:val="uk-UA"/>
        </w:rPr>
        <w:t>1. Співробітництво із запобігання та протидії злочинності в Організації Об’єднаних Націй</w:t>
      </w:r>
    </w:p>
    <w:p w:rsidR="000404E2" w:rsidRPr="00513224" w:rsidRDefault="000404E2" w:rsidP="000404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224">
        <w:rPr>
          <w:rFonts w:ascii="Times New Roman" w:hAnsi="Times New Roman" w:cs="Times New Roman"/>
          <w:bCs/>
          <w:sz w:val="28"/>
          <w:szCs w:val="28"/>
          <w:lang w:val="uk-UA"/>
        </w:rPr>
        <w:t>2. Міжнародна організація кримінальної поліції (Інтерпол): цілі, завдання, функції, структура</w:t>
      </w:r>
    </w:p>
    <w:p w:rsidR="000404E2" w:rsidRDefault="000404E2" w:rsidP="000404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224">
        <w:rPr>
          <w:rFonts w:ascii="Times New Roman" w:hAnsi="Times New Roman" w:cs="Times New Roman"/>
          <w:bCs/>
          <w:sz w:val="28"/>
          <w:szCs w:val="28"/>
          <w:lang w:val="uk-UA"/>
        </w:rPr>
        <w:t>3. Міжнародне співробітництво із запобігання та протидії злочинності в межах регіональних організацій</w:t>
      </w:r>
    </w:p>
    <w:p w:rsidR="000404E2" w:rsidRDefault="000404E2" w:rsidP="000404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/>
          <w:bCs/>
          <w:sz w:val="28"/>
          <w:szCs w:val="28"/>
          <w:lang w:val="uk-UA"/>
        </w:rPr>
        <w:t>1. Співробітництво із запобігання та протидії злочинності в Організації Об’єднаних Націй</w:t>
      </w:r>
    </w:p>
    <w:p w:rsid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Проблема зростання кримінальної складової суспільства є актуальною в усі часи, розвиток міжнародних відносин і міжнародного права дозволили організувати співробітництво держав у боротьбі зі злочинністю за допомогою міжнародних організацій. У 1872 р в Лондоні відбувся перший пенітенціарний конгрес, на якому була створена Міжнародна кримінальна і пенітенціарна комісія. У подальшому відбулося ще 10 конгресів, на яких обговорювалися питання ідентифікації злочинців, координації діяльності поліцейських органів, підготовки кримінальної статистики.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Діяльність, спрямована на боротьбу зі злочинністю, здійснювалася і в рамках Ліги Націй в період після Першої світової війни. Так, була зроблена спроба уніфікувати кримінальне законодавство. У рамках цієї організації було створено кілька комітетів з питань боротьби з незаконним обігом наркотиків, торгівлею жінками та дітьми та ін. Дані комітети контролювали виконання відповідних договорів, збирали інформацію, обробляли дані про злочинність.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Найбільш активно діяльність міжнародних організацій в галузі боротьби зі злочинністю стала здійснюватися з моменту створення ООН. На сьогоднішній день існує величезна розгалужена інституційна система, елементи якої здійснюють діяльність у міжнародній співпраці з боротьби зі злочинністю.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У 1950 р за рекомендацією Економічної і соціальної ради ООН Генеральна Асамблея прийняла резолюцію, відповідно до якої взяла на себе функції Міжнародної та пенітенціарної комісії. У подальшому при цій Раді були створені спеціальні органи - консультативні групи ООН, спеціальний відділ ООН з соціальних справ, тимчасовий консультативний комітет експертів, які повинні здійснювати функції по боротьбі зі злочинністю.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В даний час можна виділити три напрями в діяльності ООН по боротьбі зі злочинністю: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• боротьба з міжнародними злочинами;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• боротьба зі злочинами міжнародного характеру;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• розробка рекомендацій щодо попередження </w:t>
      </w:r>
      <w:proofErr w:type="spellStart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загальнокримінальних</w:t>
      </w:r>
      <w:proofErr w:type="spellEnd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злочинів та поводження з злочинцями.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Різні органи ООН здійснюють дані напрямки на практиці. Розглянемо більш детально діяльність органів ООН.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Рада Безпеки ООН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З урахуванням його компетенції цей орган ООН вирішує питання, пов'язані з вступниками скаргами від держав про скоєння стосовно них злочинів проти миру і безпеки, а також з протидією тероризму. Рада Безпеки ООН обговорює на своїх засіданнях факти скоєння найбільш небезпечних терористичних актів. З усіх питань він виносить резолюції, положення яких обов'язкові для держав.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даний час існує проблема, пов'язана з повноваженнями Ради Безпеки ООН у питаннях протидії тероризму. Запроваджуючи санкції проти підозрюваних у причетності до тероризму, Рада Безпеки ООН навмисне підміняє органи правосуддя і діє не в рамках норм міжнародного права, і часто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порушенням прав людини.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У міру розвитку міжнародного права Рада Безпеки ООН і Європейський союз почали займатися такими питаннями, які у Статуті ООН чітко не прописані, а саме складання чорних списків підозрюваних у терористичній діяльності.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Рада Безпеки ООН і Європейський союз вже включили в чорні списки близько 380 осіб і 65 організацій. У даний список можуть потрапляти не тільки держави і окремі організації, а й індивіди (громадяни), які підозрюються в пособництві терористичній діяльності. Відносно таких осіб можливі несприятливі наслідки: заморожування рахунків у банках, заборона переміщення в іншу державу та інші обмеження.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У відповідності з міжнародними нормами існують чіткі правила: кожен підозрюваний чи обвинувачений повинен мати можливість на захист своїх прав, на те, щоб довести зворотне в ході справедливого розгляду справи. В рамках Ради Безпеки ООН таких процедур не існує, і з цієї точки зору є суперечності з нормами міжнародного права. Радою Безпеки ООН не дотримуються норми відправлення правосуддя: зокрема осіб, які включаються в чорні списки, зазвичай не повідомляють про надходження запиту і у них немає можливості висловитися, їм не повідомляється про прийняте рішення до тих пір, поки вони не перетнуть кордон або не скористаються рахунком у банку. В даному випадку вони не мають мінімальної можливості довести свою невинність перед Радою Безпеки ООН, так само як і викреслити себе з таких чорних списків.</w:t>
      </w:r>
    </w:p>
    <w:p w:rsid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Кілька років тому дана проблема виникла і в ряді європейських держав, коли деякі особи потрапили до списку санкцій без причин. Підсумком цього стало кілька скарг, розглянутих у Європейському суді з прав людини (ЄСПЛ). При цьому ЄСПЛ врахував те, що особи нічого не знали про це і не мали інформації про даний списку, що є порушенням їх конституційних прав. Аргументація про те, що Рада Безпеки ООН вирішив включити їх до списку з </w:t>
      </w: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метою підтримання миру і безпеки, не була прийнята до уваги. ЄСПЛ пояснив це тим, що протидія тероризму повинне протікати в рамках тих міжнародних норм, які діють у сфері захисту прав людини. З того ж питання представники Європейського комітету з прав людини відзначили, що методи, використовувані ООН для складання чорних списків підозрюваних у тероризмі, "абсолютно довільні" і "порушують основні прав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 людини і влада закону".</w:t>
      </w:r>
    </w:p>
    <w:p w:rsid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Міжнародна організація кримінальної поліції (Інтерпол): цілі, завдання, функції, структура</w:t>
      </w:r>
    </w:p>
    <w:p w:rsid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Міжнародна організація кримінальної поліції була створена в 1923 р у Відні на зустрічі керівників поліцейських служб ряду країн. Це був другий Міжнародний конгрес поліції, учасники якого вирішили створити власне міжнародне об'єднання.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Спочатку вона іменувалася Міжнародною комісією кримінальної поліції, тобто була допоміжним органом міжнародних поліцейських конгресів. Конгреси збиралися один раз на чотири роки, але згодом від їх проведення відмовилися, а Комісія продовжувала діяти, об'єднуючи поліції близько 30 країн світу і щорічно збираючи їх представників. Під час Другої світової війни Комісія практично припинила своє існування, оскільки її штаб-квартира розташовувалася на окупованій тоді території.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Після Другої світової війни в багатьох країнах світу був відзначений серйозне зростання злочинності. Глави поліції низки європейських країн, а також США ухвалили рішення відродити міжнародну поліцейську організацію. У 1946 р відбулася конференція, де і було прийнято таке рішення.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Установчі документи цієї організації являють собою Статут, прийнятий в 1956 р ,, і угода організації з Францією про штаб-квартиру, де було офіційно підтверджено перетворення Інтерполу з неурядової міжнародної організації на повноправну м їжак урядову.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даний час Інтерпол - це велика міжнародна організація, друга за чисельністю після ООН і найбільша організація правоохоронних органів, членами якої є 200 держав. У ній не представлені тільки тихоокеанські </w:t>
      </w:r>
      <w:proofErr w:type="spellStart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мікронаціі</w:t>
      </w:r>
      <w:proofErr w:type="spellEnd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, що живуть на краю світу, кілька частково визнаних держав, а також Північна Корея.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Мети Інтерполу (ст. 2 Статуту Міжнародної організації кримінальної поліції):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1) забезпечувати широке взаємодія всіх органів (установ) кримінальної поліції в рамках існуючого законодавства країни і в дусі Загальної декларації прав людини;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2) створювати і розвивати установи, які можуть успішно сприяти попередженню кримінальної злочинності та боротьби з нею.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Виходячи з цілей, можна виділити дві сфери дії організації: зовнішня - сприяти взаємним прямим контактам кримінальної поліції країн-учасниць; </w:t>
      </w: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внутрішня - створення різних підрозділів і технічних служб, робота яких в цілому являє собою діяльність спеціалізованого та інформаційного центру Секретаріату.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Перша мета реалізується за допомогою укладення міжурядових угод про надання відомчої кримінально-поліцейської допомоги. У першу чергу угоди між країнами-сусідами, що дає можливість прискорити і спростити прямі контакти їх кримінальної поліції при вирішенні питань але конкретним злочинам, що зачіпають їхні інтереси. Спочатку їх укладали тільки в країнах Західної Європи, потім і Східна Європа перейняла таку договірну практику.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Принципи співробітництва Інтерполу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Можна виділити наступні принципи співпраці: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1) забезпечення невідворотності відповідальності за вчинене протиправне діяння;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2) участь у співпраці усіх правоохоронних органів, до функцій яких входять попередження, розкриття, розслідування злочинів, розшук злочинців та безвісти зниклих осіб. В даному випадку необхідно відзначити, що при розгляді Інтерполу під кримінальною поліцією слід розуміти не конкретну адміністративну структуру, а функції щодо участі в розкритті та розслідуванні злочинів і розшуку злочинців;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3) співробітництво на національному рівні, що спирається на міцну організаційну основу - національні центральні бюро (далі - НЦБ);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4) чітке визначення особливим державним актом в кожній країні місця НЦБ в загальнодержавному механізмі міжнародного співробітництва в боротьбі зі злочинністю, обсягу і меж його функціональної компетенції у взаєминах з іншими правоохоронними органами;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5) здійснення співробітництва па основі духу взаємності, обов'язковості виконання надходять від партнерів і генерального секретаріату прохань;</w:t>
      </w:r>
    </w:p>
    <w:p w:rsid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6) здійснення співпраці тільки у справах про </w:t>
      </w:r>
      <w:proofErr w:type="spellStart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загальнокримінальних</w:t>
      </w:r>
      <w:proofErr w:type="spellEnd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злочинах; можливість відмови в допомозі у справах політичного, релігійного, військового чи расового характеру.</w:t>
      </w:r>
    </w:p>
    <w:p w:rsid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Міжнародне співробітництво із запобігання та протидії злочинності в межах регіональних організацій</w:t>
      </w:r>
    </w:p>
    <w:p w:rsid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Співробітництво держав на регіональному рівні по боротьбі зі злочинністю здійснюється в основному в рамках, встановлених регіональними міжнародними організаціями як загальної, так і спеціальної компетенції. На регіональному рівні можливе щодо оперативно відреагувати на що відбулися в кримінальній сфері зміни, які становлять загрозу міжнародного характеру. При цьому механізм співпраці і елементи контролю, як правило, мають велику ступінь конкретності і деталізації.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Європейські регіональні (субрегіональні) організації в Європі, особливо західній її частині, мають багатий досвід міждержавної взаємодії у рамках боротьби зі злочинністю, що пояснюється історично сформованим процесом економічної і політичної інтеграції. Проблема боротьби зі </w:t>
      </w: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злочинністю розглядаються насамперед у рамках Ради Європи та трьох субрегіональних угруповань - Європейського союзу, Північної ради і Економічного союзу Бенілюкс.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Співробітництво в рамках Ради Європи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Рада Європи віддає пріоритет у своїй діяльності погодженням (приведенню до консенсусу) законодавчої бази його членів у різних сферах, що включаються в коло </w:t>
      </w:r>
      <w:proofErr w:type="spellStart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компетенцій</w:t>
      </w:r>
      <w:proofErr w:type="spellEnd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даного органу. Ця мета виповнюється шляхом прийняття норм, що носять як рекомендаційний характер (резолюції, рекомендації, декларації), так і юридично обов'язкових для всіх членів Ради Європи (конвенції, угоди, протоколи).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В рамках Ради Європи держави-члени взаємодіють в галузі попередження злочинності, боротьби з нею і призначення правопорушникам різних санкцій. Головна роль у зазначеній діяльності належить Європейському комітету з проблем злочинності (ЄКПТ), освіченій Комітетом міністрів Ради Європи в 1957 р для аналізу стану кримінально-правового законодавства, рівня злочинності, ефективності профілактичних заходів по боротьбі з нею та інших заходів, пов'язаних з вивченням всіх аспектів кримінально-правової системи.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своїй діяльності ЄКПТ бере до уваги програми роботи Ради Європи, рішення Комітету міністрів і Парламентської асамблеї. При виборі фундаментальних векторів діяльності у сфері припинення вчинення злочинних діянь на майбутні роки, зокрема при розробці п'ятирічних програм роботи Ради Європи, центральну роль відіграють рішення конференцій з питань кримінальної політики, що проводяться Радою один раз на п'ять років. Наукова експертиза роботи ЄКПТ забезпечується Науковим </w:t>
      </w:r>
      <w:proofErr w:type="spellStart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криминологическим</w:t>
      </w:r>
      <w:proofErr w:type="spellEnd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радою, конференціями директорів науково-дослідних кримінологічних інститутів і невеликими дослідницькими комітетами і групами експертів. З 1978 р проводяться конференції директорів органів кримінально-виконавчої системи, які представляють в Раді Європи свої держави, а з 1981 р експертне сприяння ЄКПТ надає Комітет з пенітенціарному співпраці.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Європейський комітет з проблем злочинності провів колосальну кількість досліджень у своїй галузі, підготував більше сотні публікацій з проблем кримінального, кримінально-процесуального та кримінально-виконавчого права, а також кримінології.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Величезне значення для приведення законодавства і практики держав - членів Ради Європи у галузі боротьби зі злочинністю до єдиного знаменника стала підготовка ЄКПТ більше 20 проектів міжнародних договорів, а також більше 80 проектів резолюцій, прийнятих потім Комітетом міністрів і містять рекомендації для використання їх у цілях розвитку національної нормативно-правової бази, а також для </w:t>
      </w:r>
      <w:proofErr w:type="spellStart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правозастосовчої</w:t>
      </w:r>
      <w:proofErr w:type="spellEnd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діяльності. До функцій ЄКПТ належить і забезпечення контролю за виконанням положень відповідних конвенцій Ради Європи (для цього створено спеціальний комітет експертів), а також резолюцій та рекомендацій Комітету міністрів.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Зростання наркоманії в Західній Європі привів до заснування в 1971 р Групи співпраці по боротьбі зі зловживанням наркотичними засобами та незаконним обігом наркотиків, відомої більше як Група </w:t>
      </w:r>
      <w:proofErr w:type="spellStart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Помпіду</w:t>
      </w:r>
      <w:proofErr w:type="spellEnd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. Чи не метою є вирішення проблеми незаконного розповсюдження наркотичних засобів, а також консолідація сил європейських держав для плідної співпраці в даній сфері. Основний акцепт при цьому робиться на різні аспекти - медичний, юридичний, поліцейський, організаційний, виховний та ін.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В даний час величезне значення набуває договірно-правової (конвенційний) механізм співпраці країн - членів Ради Європи у галузі боротьби зі злочинністю і звершення кримінального правосуддя.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Існування великої кількості міжнародних договорів між країнами - членами Ради Європи, в яких містяться умови екстрадиції осіб, засуджених за вчинення злочинів, можливості надання юридичної допомоги у кримінальних справах, різних за обсягом і характером регулювання, породило необхідність в уніфікації міжнародних норм, що відносяться до даних питань і поділюваних усіма учасниками Ради Європи.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Одним з перших питань, які торкнулося європейське співтовариство, став законодавчу прогалину в регламентації видачі іноземного громадянина (інституті екстрадиції). З метою вирішення цієї проблеми в 1957 р була укладена Європейська конвенція про видачу, а в 1959 р - Європейська конвенція про взаємну правову допомогу у кримінальних справах, регулююча в основному питання виконання запитів про провадження окремих процесуальних дій у зв'язку з кримінальним переслідуванням. Учасниками обох конвенцій є близько 30 держав.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У зв'язку з процесами світової глобалізації, які також активно відбуваються і на Європейському континенті, збільшенням кількості приїжджих на заробітки мігрантів, в основному в економічно розвинені країни Західної Європи, урбанізацією і мобільністю населення європейських держав, а також руйнування кордонів між державами ЄС значно зросла кількість злочинів , чинених іноземними громадянами. По окремих видах злочинів частка іноземців доходить до 20-40%. У зв'язку з цим отримало розвиток такий напрям взаємодії європейських держав у кримінально-правовій сфері, як визнання і виконання рішень іноземних органів у кримінальних справах.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У 1964 р була укладена Європейська конвенція про покарання за дорожні правопорушення, згідно з якою в державі, що є місцем скоєння кримінально караного дорожнього правопорушення, можливе самостійне кримінальне переслідування та винесення покарання злочинцю відповідно до національного законодавства, а після цього передача такого злочинця державі, з яким у нього є цивільно-правовий зв'язок, для виконання призначеного але справі покарання, або початкова передача цього злочинця іншій державі для судового процесу, винесення обвинувального вироку і відбування покарання, незалежно від того, громадянином якої держави було постраждала особа.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Наступним кроком у боротьбі з дорожньо-транспортними правопорушеннями стало укладення в 1976 р в Брюсселі Європейської конвенції про міжнародні наслідки позбавлення права керування автотранспортними засобами, в якій передбачено, що рішення про позбавлення водійських прав має силу не тільки в тій державі, де воно винесено, але і в інших державах - учасницях Конвенції.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положень Європейської конвенції про нагляд за умовно засудженими та умовно звільненими злочинцями від 30 листопада 1964 держава, суд якого виніс вступив в законну силу законний вирок про умовне покарання або умовно-дострокове звільнення від покарання, має право кореспондувати державі, громадянином якої є злочинець, одну з трьох обов'язків: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- Здійснення нагляду за поведінкою засудженого;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- Здійснення нагляду за засудженим, але при порушенні ним право-обмежень, які він зобов'язаний дотримуватися, - скасувати умовне засудження і виконати винесений вирок;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- Здійснення нагляду, проте при невиконанні піднаглядним призначеного режиму адміністративного або іншого нагляду - самостійно винести злочинцеві вирок і виконати його на території своєї держави.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делегованих повноважень запитуваною державою визначається відповідно до положень зазначеної Конвенції. У ній також передбачені підстави безумовного і факультативного (можливого) відмови в проханні запитувачу державі.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Наступним етапом в інтеграційних процесах стало прийняття 28 травня 1970 Європейської конвенції про міжнародну силі рішень у кримінальних справах. Відповідно до неї держава, громадянин якого скоїв злочин, має право при встановлених обставин привести у виконання судове рішення, винесене за результатами кримінальної справи, розгляд якого проходило в державі, де було скоєно злочин. Лежить в основі цієї Конвенції принцип визнання вироків іноземних судів застосовується для їх виконання з метою виключити можливість повторного засудження за один і той же злочин і для встановлення деяких правових наслідків факту засудження (судимість, рецидив, скасування умовного покарання і умовного звільнення).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Складовою частиною договірно-правового механізму співпраці країн - членів Ради Європи у сфері декриміналізації є інститут передачі кримінального переслідування (екстрадиція). У 1972 р прийнята Європейська конвенція про передачу судочинства у кримінальних справах [1], в якій визначені сфери компетенції держав-учасниць, регламентовано умови передачі провадження у кримінальних справах та підстави для запиту про таку передачу.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пенітенціарних систем західноєвропейських країн певну проблему представляють </w:t>
      </w:r>
      <w:proofErr w:type="spellStart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заключення-іноземці</w:t>
      </w:r>
      <w:proofErr w:type="spellEnd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частка яких у загальній чисельності "тюремного" населення в деяких країнах перевищує 20% (Бельгія, Греція, Кіпр, Люксембург, Нідерланди, Франція, Швейцарія, Швеція). З метою часткового вирішення цієї проблеми в 1983 р в рамках Ради Європи укладена </w:t>
      </w: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Конвенція про передачу засуджених осіб, в якій передбачена щодо спрощена процедура передачі засудженого з держави засудження в державу, вихідцем з якого він є. Ініціатива в питанні про передачу може бути виявлена як першим, так і другим державою. Важливим є положення про те, що для передачі необхідна згода засудженого.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Велике значення надається розгляду в ЄКПТ та інших органах Ради Європи питань боротьби з окремими видами (категоріями) злочинів.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результаті цієї роботи укладені наступні договори: Європейська угода про попередження радіомовлення зі станцій, що знаходяться поза національними територій (1965); Європейська конвенція про незастосовність строків давності до злочинів проти людяності та воєнних злочинів (1974); Європейська конвенція про боротьбу з тероризмом (1977); Європейська конвенція про контроль за придбанням та зберіганням вогнепальної зброї приватними особами (1978); Європейська конвенція про правопорушення, пов'язані з культурною власністю (1985); Європейська конвенція про запобігання насильства і хуліганського поводження глядачів під час спортивних заходів, і зокрема футбольних матчів (1985); Конвенція про відмивання, виявлення, вилучення і конфіскацію доходів від злочинної діяльності (1990); Європейська конвенція про охорону археологічної спадщини (1992); Угода Ради Європи ЕТЯ № 156 про незаконні перевезеннях по морю наркотиків і психотропних речовин, </w:t>
      </w:r>
      <w:proofErr w:type="spellStart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імплементує</w:t>
      </w:r>
      <w:proofErr w:type="spellEnd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статтю 17 Конвенції ООН про боротьбу проти незаконного обігу наркотичних засобів і психотропних речовин (1995).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Різними органами Ради Європи прийнято понад 150 актів рекомендаційного характеру, що мають безпосереднє відношення до правоохоронної діяльності.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>Серед прийнятих в рамках Ради Європи договорів, які регламентують права людини у сфері кримінального правосуддя, слід зазначити такі акти, як: Конвенція про захист прав людини та основних свобод (1950) і протокол № 6 до неї, що стосується скасування смертної кари (1983); Конвенція про захист фізичних осіб при автоматизованій обробці персональних даних (1981); Європейська конвенція про компенсацію жертвам насильницьких злочинів (1983); Європейська конвенція про запобігання катуванням чи нелюдському або такому, що принижує гідність, поводженню чи покаранню (1987).</w:t>
      </w:r>
    </w:p>
    <w:p w:rsidR="000404E2" w:rsidRPr="000404E2" w:rsidRDefault="000404E2" w:rsidP="000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Класифікуючи прийняті Радою Європи нормативні правові акти, що стосуються забезпечення прав людини у сфері кримінального правосуддя, до мають рекомендаційний характер можна віднести, наприклад, резолюції (рекомендації) Комітету міністрів про виборчі, цивільних і соціальних правах в'язнів (1962); про працю в'язнів (1975); про утримання під вартою до суду (1990); про кримінальну реєстрації та реабілітації засуджених (1984); про освіту у в'язницях. Однак найбільший інтерес, на наш погляд, представляють Європейські пенітенціарні правила, що містяться в рекомендації Комітету міністрів Ради Європи від 12 лютого 1987 і які становлять другу модифікований варіант прийнятих ООН Мінімальних стандартних правил </w:t>
      </w:r>
      <w:r w:rsidRPr="000404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поводження з ув'язненими. Не можна не відзначити і схвалену 8 травня 1979 Парламентською асамблеєю Ради Європи Декларацію про поліцію - рекомендаційний документ, являє собою своєрідний кодекс професійної етики співробітників поліції держав - членів Ради Європи.</w:t>
      </w:r>
    </w:p>
    <w:sectPr w:rsidR="000404E2" w:rsidRPr="0004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2"/>
    <w:rsid w:val="00004C8A"/>
    <w:rsid w:val="000061F3"/>
    <w:rsid w:val="00012C89"/>
    <w:rsid w:val="00014E8B"/>
    <w:rsid w:val="0001589A"/>
    <w:rsid w:val="00016BDA"/>
    <w:rsid w:val="00025CC3"/>
    <w:rsid w:val="00027D72"/>
    <w:rsid w:val="00034F8D"/>
    <w:rsid w:val="000404E2"/>
    <w:rsid w:val="00045A3A"/>
    <w:rsid w:val="00050B4B"/>
    <w:rsid w:val="0005730E"/>
    <w:rsid w:val="0006072D"/>
    <w:rsid w:val="00061A29"/>
    <w:rsid w:val="0009126A"/>
    <w:rsid w:val="000B2C00"/>
    <w:rsid w:val="000D0E56"/>
    <w:rsid w:val="000F2014"/>
    <w:rsid w:val="0010427E"/>
    <w:rsid w:val="00111AB6"/>
    <w:rsid w:val="001136AE"/>
    <w:rsid w:val="00126318"/>
    <w:rsid w:val="00140610"/>
    <w:rsid w:val="00144CAE"/>
    <w:rsid w:val="001676EE"/>
    <w:rsid w:val="001751F5"/>
    <w:rsid w:val="00186C61"/>
    <w:rsid w:val="001957CC"/>
    <w:rsid w:val="0019723C"/>
    <w:rsid w:val="00197871"/>
    <w:rsid w:val="001A1EBB"/>
    <w:rsid w:val="001B1E64"/>
    <w:rsid w:val="001B7899"/>
    <w:rsid w:val="001C5C91"/>
    <w:rsid w:val="001D41E3"/>
    <w:rsid w:val="001E1282"/>
    <w:rsid w:val="00207A6D"/>
    <w:rsid w:val="00207D9F"/>
    <w:rsid w:val="00224ECC"/>
    <w:rsid w:val="0023674C"/>
    <w:rsid w:val="0024059C"/>
    <w:rsid w:val="002419CF"/>
    <w:rsid w:val="00252487"/>
    <w:rsid w:val="00262548"/>
    <w:rsid w:val="002705BF"/>
    <w:rsid w:val="00273AF7"/>
    <w:rsid w:val="00286B63"/>
    <w:rsid w:val="0029317B"/>
    <w:rsid w:val="002A1403"/>
    <w:rsid w:val="002A5D60"/>
    <w:rsid w:val="002A6935"/>
    <w:rsid w:val="002B5743"/>
    <w:rsid w:val="002C2A7A"/>
    <w:rsid w:val="002C7D6D"/>
    <w:rsid w:val="002D017A"/>
    <w:rsid w:val="002D4B35"/>
    <w:rsid w:val="002E3072"/>
    <w:rsid w:val="002F0BEA"/>
    <w:rsid w:val="002F4B73"/>
    <w:rsid w:val="003073EE"/>
    <w:rsid w:val="00310B13"/>
    <w:rsid w:val="00315E1A"/>
    <w:rsid w:val="00317EDC"/>
    <w:rsid w:val="00326A75"/>
    <w:rsid w:val="00334A5B"/>
    <w:rsid w:val="00343963"/>
    <w:rsid w:val="00355684"/>
    <w:rsid w:val="00360BC9"/>
    <w:rsid w:val="00364C0B"/>
    <w:rsid w:val="00366072"/>
    <w:rsid w:val="00384DAD"/>
    <w:rsid w:val="0039308B"/>
    <w:rsid w:val="003B1D4E"/>
    <w:rsid w:val="003B5FA2"/>
    <w:rsid w:val="003C0538"/>
    <w:rsid w:val="003C0FF4"/>
    <w:rsid w:val="003C4C95"/>
    <w:rsid w:val="003C5D39"/>
    <w:rsid w:val="003D1E54"/>
    <w:rsid w:val="003D3297"/>
    <w:rsid w:val="003F0E15"/>
    <w:rsid w:val="003F14B2"/>
    <w:rsid w:val="003F14C2"/>
    <w:rsid w:val="003F6F78"/>
    <w:rsid w:val="00404532"/>
    <w:rsid w:val="0043450B"/>
    <w:rsid w:val="0043481B"/>
    <w:rsid w:val="004348EB"/>
    <w:rsid w:val="00443AC2"/>
    <w:rsid w:val="00451CB8"/>
    <w:rsid w:val="0045416B"/>
    <w:rsid w:val="00465B39"/>
    <w:rsid w:val="00467FBB"/>
    <w:rsid w:val="00473D60"/>
    <w:rsid w:val="00477A20"/>
    <w:rsid w:val="00481FA1"/>
    <w:rsid w:val="00484F9B"/>
    <w:rsid w:val="00493E8E"/>
    <w:rsid w:val="004A1151"/>
    <w:rsid w:val="004C5DC7"/>
    <w:rsid w:val="004D3811"/>
    <w:rsid w:val="004E741C"/>
    <w:rsid w:val="0050130B"/>
    <w:rsid w:val="00503F64"/>
    <w:rsid w:val="00522C08"/>
    <w:rsid w:val="00525E44"/>
    <w:rsid w:val="00531F25"/>
    <w:rsid w:val="00541208"/>
    <w:rsid w:val="0055158B"/>
    <w:rsid w:val="00557434"/>
    <w:rsid w:val="0056102C"/>
    <w:rsid w:val="00563835"/>
    <w:rsid w:val="00566ADF"/>
    <w:rsid w:val="005818FF"/>
    <w:rsid w:val="00593B7D"/>
    <w:rsid w:val="005A0507"/>
    <w:rsid w:val="005A7CD1"/>
    <w:rsid w:val="005C2110"/>
    <w:rsid w:val="005D5A78"/>
    <w:rsid w:val="005D5C35"/>
    <w:rsid w:val="005E4C89"/>
    <w:rsid w:val="00605DFB"/>
    <w:rsid w:val="00610C1D"/>
    <w:rsid w:val="006173D2"/>
    <w:rsid w:val="00635050"/>
    <w:rsid w:val="0063703F"/>
    <w:rsid w:val="006531D5"/>
    <w:rsid w:val="00655A45"/>
    <w:rsid w:val="0066169D"/>
    <w:rsid w:val="0066487C"/>
    <w:rsid w:val="006655F2"/>
    <w:rsid w:val="00684022"/>
    <w:rsid w:val="00695316"/>
    <w:rsid w:val="006B28F1"/>
    <w:rsid w:val="006C7BBA"/>
    <w:rsid w:val="006E48D8"/>
    <w:rsid w:val="006E48DF"/>
    <w:rsid w:val="00703AF9"/>
    <w:rsid w:val="00706831"/>
    <w:rsid w:val="00712674"/>
    <w:rsid w:val="0072072A"/>
    <w:rsid w:val="00720F69"/>
    <w:rsid w:val="0073688F"/>
    <w:rsid w:val="007435EE"/>
    <w:rsid w:val="00745C10"/>
    <w:rsid w:val="00782997"/>
    <w:rsid w:val="0079175F"/>
    <w:rsid w:val="007A18BD"/>
    <w:rsid w:val="007A5CF5"/>
    <w:rsid w:val="007A695D"/>
    <w:rsid w:val="007B373C"/>
    <w:rsid w:val="007D1FE1"/>
    <w:rsid w:val="007E29BA"/>
    <w:rsid w:val="007E64F0"/>
    <w:rsid w:val="007F0038"/>
    <w:rsid w:val="007F2FB3"/>
    <w:rsid w:val="00802F98"/>
    <w:rsid w:val="00816DD4"/>
    <w:rsid w:val="00817260"/>
    <w:rsid w:val="00826599"/>
    <w:rsid w:val="00837626"/>
    <w:rsid w:val="0084540E"/>
    <w:rsid w:val="00845D54"/>
    <w:rsid w:val="008509A5"/>
    <w:rsid w:val="008551D2"/>
    <w:rsid w:val="00864264"/>
    <w:rsid w:val="00871397"/>
    <w:rsid w:val="00883828"/>
    <w:rsid w:val="0088664B"/>
    <w:rsid w:val="00891F28"/>
    <w:rsid w:val="008934D4"/>
    <w:rsid w:val="008A0C41"/>
    <w:rsid w:val="008A0C86"/>
    <w:rsid w:val="008A3829"/>
    <w:rsid w:val="008A54C6"/>
    <w:rsid w:val="008D1AE6"/>
    <w:rsid w:val="008D1C50"/>
    <w:rsid w:val="008D4F41"/>
    <w:rsid w:val="008D6516"/>
    <w:rsid w:val="00905BE6"/>
    <w:rsid w:val="00906126"/>
    <w:rsid w:val="009110BA"/>
    <w:rsid w:val="00911724"/>
    <w:rsid w:val="009253E9"/>
    <w:rsid w:val="00931F9F"/>
    <w:rsid w:val="00933743"/>
    <w:rsid w:val="009347A5"/>
    <w:rsid w:val="009409A7"/>
    <w:rsid w:val="00943AA2"/>
    <w:rsid w:val="00945B61"/>
    <w:rsid w:val="00945F85"/>
    <w:rsid w:val="00954D87"/>
    <w:rsid w:val="009640E1"/>
    <w:rsid w:val="00975BFF"/>
    <w:rsid w:val="009775B3"/>
    <w:rsid w:val="00992E46"/>
    <w:rsid w:val="009A1CBB"/>
    <w:rsid w:val="009A1CCA"/>
    <w:rsid w:val="009B0108"/>
    <w:rsid w:val="009B3F9F"/>
    <w:rsid w:val="009D0E84"/>
    <w:rsid w:val="009E0710"/>
    <w:rsid w:val="009E07EE"/>
    <w:rsid w:val="009E720E"/>
    <w:rsid w:val="009F3BC9"/>
    <w:rsid w:val="00A0387E"/>
    <w:rsid w:val="00A03C81"/>
    <w:rsid w:val="00A102AD"/>
    <w:rsid w:val="00A27DEF"/>
    <w:rsid w:val="00A3343B"/>
    <w:rsid w:val="00A42655"/>
    <w:rsid w:val="00A46F81"/>
    <w:rsid w:val="00A4772C"/>
    <w:rsid w:val="00A55739"/>
    <w:rsid w:val="00A73816"/>
    <w:rsid w:val="00A77E47"/>
    <w:rsid w:val="00A84D73"/>
    <w:rsid w:val="00A85C1F"/>
    <w:rsid w:val="00A938DB"/>
    <w:rsid w:val="00A93B2A"/>
    <w:rsid w:val="00A93F5A"/>
    <w:rsid w:val="00A96C10"/>
    <w:rsid w:val="00AA005C"/>
    <w:rsid w:val="00AA701E"/>
    <w:rsid w:val="00AB0426"/>
    <w:rsid w:val="00AB04F3"/>
    <w:rsid w:val="00AB583D"/>
    <w:rsid w:val="00AC1D05"/>
    <w:rsid w:val="00AC4ADA"/>
    <w:rsid w:val="00AC5B2F"/>
    <w:rsid w:val="00AD654C"/>
    <w:rsid w:val="00AD68C0"/>
    <w:rsid w:val="00AE4484"/>
    <w:rsid w:val="00AF1228"/>
    <w:rsid w:val="00AF41F0"/>
    <w:rsid w:val="00B023E7"/>
    <w:rsid w:val="00B02A39"/>
    <w:rsid w:val="00B119D3"/>
    <w:rsid w:val="00B162DD"/>
    <w:rsid w:val="00B163BC"/>
    <w:rsid w:val="00B1746A"/>
    <w:rsid w:val="00B41E1A"/>
    <w:rsid w:val="00B45FB3"/>
    <w:rsid w:val="00B507FA"/>
    <w:rsid w:val="00B52E90"/>
    <w:rsid w:val="00B548CD"/>
    <w:rsid w:val="00B615BC"/>
    <w:rsid w:val="00B8009D"/>
    <w:rsid w:val="00B80B43"/>
    <w:rsid w:val="00B86643"/>
    <w:rsid w:val="00B950A0"/>
    <w:rsid w:val="00B95793"/>
    <w:rsid w:val="00BA0BE1"/>
    <w:rsid w:val="00BA330F"/>
    <w:rsid w:val="00BB4969"/>
    <w:rsid w:val="00BC6A7B"/>
    <w:rsid w:val="00BE29D2"/>
    <w:rsid w:val="00BF3278"/>
    <w:rsid w:val="00BF37AA"/>
    <w:rsid w:val="00C16CCF"/>
    <w:rsid w:val="00C20C92"/>
    <w:rsid w:val="00C23EFE"/>
    <w:rsid w:val="00C24B98"/>
    <w:rsid w:val="00C26680"/>
    <w:rsid w:val="00C32E57"/>
    <w:rsid w:val="00C36AC6"/>
    <w:rsid w:val="00C40D16"/>
    <w:rsid w:val="00C42CA6"/>
    <w:rsid w:val="00C44B12"/>
    <w:rsid w:val="00C50FB9"/>
    <w:rsid w:val="00C54682"/>
    <w:rsid w:val="00C5492A"/>
    <w:rsid w:val="00C57755"/>
    <w:rsid w:val="00C648D5"/>
    <w:rsid w:val="00C67F45"/>
    <w:rsid w:val="00C744BA"/>
    <w:rsid w:val="00C77C4F"/>
    <w:rsid w:val="00C82C1D"/>
    <w:rsid w:val="00C917FA"/>
    <w:rsid w:val="00C958BE"/>
    <w:rsid w:val="00C9643F"/>
    <w:rsid w:val="00CB5E46"/>
    <w:rsid w:val="00CC7BC8"/>
    <w:rsid w:val="00CD0D66"/>
    <w:rsid w:val="00CE13B6"/>
    <w:rsid w:val="00CE3B29"/>
    <w:rsid w:val="00CF2AE8"/>
    <w:rsid w:val="00CF54A9"/>
    <w:rsid w:val="00D02069"/>
    <w:rsid w:val="00D11879"/>
    <w:rsid w:val="00D30435"/>
    <w:rsid w:val="00D3633C"/>
    <w:rsid w:val="00D4004D"/>
    <w:rsid w:val="00D511AD"/>
    <w:rsid w:val="00D512F2"/>
    <w:rsid w:val="00D52373"/>
    <w:rsid w:val="00D57A88"/>
    <w:rsid w:val="00D641BC"/>
    <w:rsid w:val="00D64460"/>
    <w:rsid w:val="00D67EC9"/>
    <w:rsid w:val="00D74C0A"/>
    <w:rsid w:val="00D76ED8"/>
    <w:rsid w:val="00D84C7B"/>
    <w:rsid w:val="00D91523"/>
    <w:rsid w:val="00D9729E"/>
    <w:rsid w:val="00DB7EF4"/>
    <w:rsid w:val="00DC640D"/>
    <w:rsid w:val="00DD3466"/>
    <w:rsid w:val="00DD5715"/>
    <w:rsid w:val="00DF1D9E"/>
    <w:rsid w:val="00E0085E"/>
    <w:rsid w:val="00E0263B"/>
    <w:rsid w:val="00E13223"/>
    <w:rsid w:val="00E352DD"/>
    <w:rsid w:val="00E474AC"/>
    <w:rsid w:val="00E90F93"/>
    <w:rsid w:val="00E927FE"/>
    <w:rsid w:val="00E94A5D"/>
    <w:rsid w:val="00ED5181"/>
    <w:rsid w:val="00ED5E7E"/>
    <w:rsid w:val="00EE309B"/>
    <w:rsid w:val="00EF429D"/>
    <w:rsid w:val="00EF7C6A"/>
    <w:rsid w:val="00F37D8C"/>
    <w:rsid w:val="00F55CF1"/>
    <w:rsid w:val="00F630E1"/>
    <w:rsid w:val="00F64F9A"/>
    <w:rsid w:val="00F86804"/>
    <w:rsid w:val="00F873DC"/>
    <w:rsid w:val="00F8772F"/>
    <w:rsid w:val="00FA0693"/>
    <w:rsid w:val="00FB2EB7"/>
    <w:rsid w:val="00FD279A"/>
    <w:rsid w:val="00FE007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2020-08-31T11:15:00Z</dcterms:created>
  <dcterms:modified xsi:type="dcterms:W3CDTF">2020-08-31T11:20:00Z</dcterms:modified>
</cp:coreProperties>
</file>