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78C16" w14:textId="522825EE" w:rsidR="00E01E97" w:rsidRPr="008816DC" w:rsidRDefault="0091061E" w:rsidP="008816D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39361993"/>
      <w:r w:rsidRPr="008816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Лекція </w:t>
      </w:r>
      <w:r w:rsidR="00B81842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bookmarkStart w:id="1" w:name="_GoBack"/>
      <w:bookmarkEnd w:id="1"/>
      <w:r w:rsidRPr="008816DC">
        <w:rPr>
          <w:rFonts w:ascii="Times New Roman" w:hAnsi="Times New Roman" w:cs="Times New Roman"/>
          <w:b/>
          <w:bCs/>
          <w:sz w:val="28"/>
          <w:szCs w:val="28"/>
          <w:lang w:val="uk-UA"/>
        </w:rPr>
        <w:t>. Антропологічні</w:t>
      </w:r>
      <w:r w:rsidR="008816DC" w:rsidRPr="008816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16D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детермінанти доброчесності у правових відносинах.</w:t>
      </w:r>
    </w:p>
    <w:bookmarkEnd w:id="0"/>
    <w:p w14:paraId="43C674A2" w14:textId="122AF0A2" w:rsidR="0000795C" w:rsidRPr="008816DC" w:rsidRDefault="00BA4ED8" w:rsidP="008816D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16DC">
        <w:rPr>
          <w:rFonts w:ascii="Times New Roman" w:hAnsi="Times New Roman" w:cs="Times New Roman"/>
          <w:sz w:val="28"/>
          <w:szCs w:val="28"/>
          <w:lang w:val="uk-UA"/>
        </w:rPr>
        <w:t>©</w:t>
      </w:r>
      <w:r w:rsidR="00257576" w:rsidRPr="008816DC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8816D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Макаренков О. Л., 2020</w:t>
      </w:r>
    </w:p>
    <w:p w14:paraId="4AC1065A" w14:textId="77777777" w:rsidR="00003B49" w:rsidRPr="008816DC" w:rsidRDefault="00003B49" w:rsidP="008816D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2BE837" w14:textId="3889550A" w:rsidR="00845254" w:rsidRPr="008816DC" w:rsidRDefault="00845254" w:rsidP="008816D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DC">
        <w:rPr>
          <w:rFonts w:ascii="Times New Roman" w:hAnsi="Times New Roman" w:cs="Times New Roman"/>
          <w:b/>
          <w:bCs/>
          <w:sz w:val="28"/>
          <w:szCs w:val="28"/>
        </w:rPr>
        <w:t xml:space="preserve">Антропологічні детермінанти доброчесності </w:t>
      </w:r>
      <w:r w:rsidR="0085167D" w:rsidRPr="008816DC">
        <w:rPr>
          <w:rFonts w:ascii="Times New Roman" w:hAnsi="Times New Roman" w:cs="Times New Roman"/>
          <w:b/>
          <w:bCs/>
          <w:sz w:val="28"/>
          <w:szCs w:val="28"/>
        </w:rPr>
        <w:t>у публічно-правових відносинах України та ЄС</w:t>
      </w:r>
      <w:r w:rsidRPr="008816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5B416" w14:textId="77777777" w:rsidR="002213BD" w:rsidRPr="008816DC" w:rsidRDefault="005135FC" w:rsidP="00881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6DC">
        <w:rPr>
          <w:rFonts w:ascii="Times New Roman" w:hAnsi="Times New Roman" w:cs="Times New Roman"/>
          <w:sz w:val="28"/>
          <w:szCs w:val="28"/>
          <w:lang w:val="uk-UA"/>
        </w:rPr>
        <w:t xml:space="preserve">Феномен корупції характерний для усіх етапів розвитку людської цивілізації від стародавніх часів до сьогодення. Відповідно він являє собою закономірність соціального прогресу. Проблема полягає у ступені корупції, який уможливлює розвиток. З однієї сторони, корупція покращує роботу бюрократичної системи в умовах об’єктивно перманентно недосконалого законодавства, виконуючи роль </w:t>
      </w:r>
    </w:p>
    <w:p w14:paraId="22B82946" w14:textId="2F7E9AFF" w:rsidR="005135FC" w:rsidRPr="008816DC" w:rsidRDefault="005135FC" w:rsidP="008816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16DC">
        <w:rPr>
          <w:rFonts w:ascii="Times New Roman" w:hAnsi="Times New Roman" w:cs="Times New Roman"/>
          <w:sz w:val="28"/>
          <w:szCs w:val="28"/>
          <w:lang w:val="uk-UA"/>
        </w:rPr>
        <w:t xml:space="preserve">компенсатора прогалин, кострубатості, архаїчності, штучності, політизованості правових норм. З іншої сторони, перебір корупції має наслідком розкладання соціального ладу й колапс попередньої системи політичної взаємодії. У цьому зв’язку вітчизняний досвід переконує, що кінець 2013 р. став саме таким моментом критичного рівня корупції, вище якого не існувало нормальних соціальних зв’язків, а залишились тільки вігіталізм </w:t>
      </w:r>
      <w:r w:rsidR="00867F5E" w:rsidRPr="008816DC">
        <w:rPr>
          <w:rFonts w:ascii="Times New Roman" w:hAnsi="Times New Roman" w:cs="Times New Roman"/>
          <w:sz w:val="28"/>
          <w:szCs w:val="28"/>
          <w:lang w:val="uk-UA"/>
        </w:rPr>
        <w:t xml:space="preserve">як спосіб </w:t>
      </w:r>
      <w:r w:rsidRPr="008816DC">
        <w:rPr>
          <w:rFonts w:ascii="Times New Roman" w:hAnsi="Times New Roman" w:cs="Times New Roman"/>
          <w:sz w:val="28"/>
          <w:szCs w:val="28"/>
          <w:lang w:val="uk-UA"/>
        </w:rPr>
        <w:t xml:space="preserve">очищення влади </w:t>
      </w:r>
      <w:r w:rsidR="00867F5E" w:rsidRPr="008816DC">
        <w:rPr>
          <w:rFonts w:ascii="Times New Roman" w:hAnsi="Times New Roman" w:cs="Times New Roman"/>
          <w:sz w:val="28"/>
          <w:szCs w:val="28"/>
          <w:lang w:val="uk-UA"/>
        </w:rPr>
        <w:t>і перетворень</w:t>
      </w:r>
      <w:r w:rsidRPr="008816DC">
        <w:rPr>
          <w:rFonts w:ascii="Times New Roman" w:hAnsi="Times New Roman" w:cs="Times New Roman"/>
          <w:sz w:val="28"/>
          <w:szCs w:val="28"/>
          <w:lang w:val="uk-UA"/>
        </w:rPr>
        <w:t xml:space="preserve">. Наразі продовжується динамічне реформування державних органів та низки </w:t>
      </w:r>
      <w:r w:rsidRPr="008816DC">
        <w:rPr>
          <w:rFonts w:ascii="Times New Roman" w:hAnsi="Times New Roman"/>
          <w:sz w:val="28"/>
          <w:szCs w:val="28"/>
          <w:lang w:val="uk-UA"/>
        </w:rPr>
        <w:t>супутніх правових інститутів (банків, політичних партій тощо). Наприклад, структурно-функціональні зміни в сфері правосуддя і правоохоронної діяльності 2014-20</w:t>
      </w:r>
      <w:r w:rsidR="0025424A" w:rsidRPr="008816DC">
        <w:rPr>
          <w:rFonts w:ascii="Times New Roman" w:hAnsi="Times New Roman"/>
          <w:sz w:val="28"/>
          <w:szCs w:val="28"/>
          <w:lang w:val="uk-UA"/>
        </w:rPr>
        <w:t>20</w:t>
      </w:r>
      <w:r w:rsidRPr="008816DC">
        <w:rPr>
          <w:rFonts w:ascii="Times New Roman" w:hAnsi="Times New Roman"/>
          <w:sz w:val="28"/>
          <w:szCs w:val="28"/>
          <w:lang w:val="uk-UA"/>
        </w:rPr>
        <w:t xml:space="preserve"> років формально-юридично об’єктивовані у формі змін до Конституції України й більш ніж </w:t>
      </w:r>
      <w:r w:rsidR="0025424A" w:rsidRPr="008816DC">
        <w:rPr>
          <w:rFonts w:ascii="Times New Roman" w:hAnsi="Times New Roman"/>
          <w:sz w:val="28"/>
          <w:szCs w:val="28"/>
          <w:lang w:val="uk-UA"/>
        </w:rPr>
        <w:t>20</w:t>
      </w:r>
      <w:r w:rsidRPr="008816DC">
        <w:rPr>
          <w:rFonts w:ascii="Times New Roman" w:hAnsi="Times New Roman"/>
          <w:sz w:val="28"/>
          <w:szCs w:val="28"/>
          <w:lang w:val="uk-UA"/>
        </w:rPr>
        <w:t xml:space="preserve">-ти концептуально нових законів). </w:t>
      </w:r>
    </w:p>
    <w:p w14:paraId="60E571BE" w14:textId="77777777" w:rsidR="009C00B4" w:rsidRPr="008816DC" w:rsidRDefault="00201896" w:rsidP="008816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16DC">
        <w:rPr>
          <w:rFonts w:ascii="Times New Roman" w:hAnsi="Times New Roman"/>
          <w:sz w:val="28"/>
          <w:szCs w:val="28"/>
          <w:lang w:val="uk-UA"/>
        </w:rPr>
        <w:t xml:space="preserve">Зміни уявлень про право і врегульовану ним діяльність держави сьогодні багато у чому визначається виходом до нових світоглядних засад, до іншої психології сприйняття життя, до іншої позиції людини у сучасному світі. Концепція оновленого пізнання сутності права виходить із необхідності відмежування від суто позитивістського підходу та орієнтації у цьому </w:t>
      </w:r>
      <w:r w:rsidRPr="008816DC">
        <w:rPr>
          <w:rFonts w:ascii="Times New Roman" w:hAnsi="Times New Roman"/>
          <w:sz w:val="28"/>
          <w:szCs w:val="28"/>
          <w:lang w:val="uk-UA"/>
        </w:rPr>
        <w:lastRenderedPageBreak/>
        <w:t xml:space="preserve">когнітивному процесі на природно-правові підходи, що дозволяють спиратися у своїх наукових дослідженнях на </w:t>
      </w:r>
    </w:p>
    <w:p w14:paraId="53E3E9D9" w14:textId="77777777" w:rsidR="009C00B4" w:rsidRPr="008816DC" w:rsidRDefault="00201896" w:rsidP="008816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16DC">
        <w:rPr>
          <w:rFonts w:ascii="Times New Roman" w:hAnsi="Times New Roman"/>
          <w:sz w:val="28"/>
          <w:szCs w:val="28"/>
          <w:lang w:val="uk-UA"/>
        </w:rPr>
        <w:t xml:space="preserve">ідеї незалежності права від визнання чи невизнання з боку держави, зв'язок принципу справедливості із принципом договору між громадянами і державою, а також виявляти онтологічне місце і телеологічні спроможності права, застосовувати телеологічний підхід. Антропологічний методологічний підхід наукового пізнання феномену права покликаний вплинути на законодавство в контексті людського виміру. </w:t>
      </w:r>
    </w:p>
    <w:p w14:paraId="6DB5BEE8" w14:textId="4BE96566" w:rsidR="00201896" w:rsidRPr="008816DC" w:rsidRDefault="00201896" w:rsidP="008816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16DC">
        <w:rPr>
          <w:rFonts w:ascii="Times New Roman" w:hAnsi="Times New Roman"/>
          <w:sz w:val="28"/>
          <w:szCs w:val="28"/>
          <w:lang w:val="uk-UA"/>
        </w:rPr>
        <w:t>Без юридичної антропології неможливо було б синтезувати та сформулювати низки положень законодавства, які безпосередньо характеризують людську природу, наприклад, поняття «біометричні дані» - сукупність даних про особу, зібраних на основі фіксації її характеристик, що мають достатню стабільність та істотно відрізняються від аналогічних параметрів інших осіб (біометричні дані, параметри - відцифрований підпис особи, відцифрований образ обличчя особи, відцифровані відбитки пальців рук);</w:t>
      </w:r>
      <w:bookmarkStart w:id="2" w:name="n740"/>
      <w:bookmarkEnd w:id="2"/>
      <w:r w:rsidRPr="008816DC">
        <w:rPr>
          <w:rFonts w:ascii="Times New Roman" w:hAnsi="Times New Roman"/>
          <w:sz w:val="28"/>
          <w:szCs w:val="28"/>
          <w:lang w:val="uk-UA"/>
        </w:rPr>
        <w:t xml:space="preserve"> «біометричні параметри» - вимірювальні фізичні характеристики або особистісні поведінкові риси, що використовуються для ідентифікації (впізнання) особи або верифікації наданої ідентифікаційної інформації про особу, що містяться у п. 2, 3 ч. 1 ст. 3 Закону України «Про Єдиний державний демографічний реєстр та документи, що підтверджують громадянство України, посвідчують особу чи її спеціальний статус» від 20.11.2012 № 5492-VI, як, власне, й назву самого цього закону.</w:t>
      </w:r>
    </w:p>
    <w:p w14:paraId="1D364A0A" w14:textId="77777777" w:rsidR="00D86922" w:rsidRPr="008816DC" w:rsidRDefault="00201896" w:rsidP="008816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16DC">
        <w:rPr>
          <w:rFonts w:ascii="Times New Roman" w:hAnsi="Times New Roman"/>
          <w:sz w:val="28"/>
          <w:szCs w:val="28"/>
          <w:lang w:val="uk-UA"/>
        </w:rPr>
        <w:t xml:space="preserve">Зазначений підхід став необхідною реакцією на абстрактність і схематизм змісту переважно нормативістських концепцій права, заснованих на звичайному емпірично-аналітичному методі дослідження, тобто на аналізі того або іншого попереднього припущення, що має форму дефініції. </w:t>
      </w:r>
    </w:p>
    <w:p w14:paraId="498B711D" w14:textId="77777777" w:rsidR="00D86922" w:rsidRPr="008816DC" w:rsidRDefault="00201896" w:rsidP="008816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16DC">
        <w:rPr>
          <w:rFonts w:ascii="Times New Roman" w:hAnsi="Times New Roman"/>
          <w:sz w:val="28"/>
          <w:szCs w:val="28"/>
          <w:lang w:val="uk-UA"/>
        </w:rPr>
        <w:t xml:space="preserve">Застосовуючи юридико-антропологічні методи (польової етнографії – безпосереднє спостереження, інтерв'ю/анкетування, аудіовізуальну фіксацію матеріалу), поєднуємо </w:t>
      </w:r>
    </w:p>
    <w:p w14:paraId="7DCBD640" w14:textId="77777777" w:rsidR="00D86922" w:rsidRPr="008816DC" w:rsidRDefault="00201896" w:rsidP="008816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16DC">
        <w:rPr>
          <w:rFonts w:ascii="Times New Roman" w:hAnsi="Times New Roman"/>
          <w:sz w:val="28"/>
          <w:szCs w:val="28"/>
          <w:lang w:val="uk-UA"/>
        </w:rPr>
        <w:t xml:space="preserve">нормативний і процесуальний аналізи правового буття людей, а саме: </w:t>
      </w:r>
    </w:p>
    <w:p w14:paraId="7069CCE1" w14:textId="057F4021" w:rsidR="00201896" w:rsidRPr="008816DC" w:rsidRDefault="00201896" w:rsidP="008816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16DC">
        <w:rPr>
          <w:rFonts w:ascii="Times New Roman" w:hAnsi="Times New Roman"/>
          <w:sz w:val="28"/>
          <w:szCs w:val="28"/>
          <w:lang w:val="uk-UA"/>
        </w:rPr>
        <w:lastRenderedPageBreak/>
        <w:t>розглядаємо відносини, що виникають між ними у зв'язку з правом або його порушеннями, юридичними конфліктами, часто незалежно від етнічної (соціальної, географічної та ін.) приналежності; порівнюємо вивчення традиційних і сучасних правових регуляторів, аналіз субкультур, соматичних прав, прав людини в міжнародному і національному праві; розкриваємо правовий процес, перебіг соціальних відносин як динамічну характеристику адекватної картини правового буття людини.</w:t>
      </w:r>
      <w:r w:rsidRPr="008816DC">
        <w:rPr>
          <w:sz w:val="28"/>
          <w:szCs w:val="28"/>
          <w:lang w:val="uk-UA"/>
        </w:rPr>
        <w:t xml:space="preserve"> </w:t>
      </w:r>
      <w:r w:rsidRPr="008816DC">
        <w:rPr>
          <w:rFonts w:ascii="Times New Roman" w:hAnsi="Times New Roman"/>
          <w:sz w:val="28"/>
          <w:szCs w:val="28"/>
          <w:lang w:val="uk-UA"/>
        </w:rPr>
        <w:t>У сучасному праві взагалі людина посіла настільки важливе місце, що  дослідники почали говорити про виникнення особливого методу вивчення права – правову (юридичну) антропологію. Людина явище складне та багатогранне, вона одна із центральних проблем права. А тому його власна евристика в Україні не обмежується обґрунтуванням механізмів підпорядкування людей і\або калькуванням аналогів інститутів правового регулювання із зарубіжних країн. Як справедливо наголошується «iнститути – це правила гри в суспiльствi; формально створенi людиною обмежувальнi рамки, якi органiзують взаємовiдносини мiж людьми. Вiдповiдно, вони задають мотиви людської взаємодiї – чи то в полiтицi, соцiальнiй сферi чи економiцi. Iнституцiйнi змiни визначають те, як суспільства розвиваються в часi, й таким чином, є ключем до розумiння iсторичних змiн», доброчесності та прогресу. Водночас в Україні ми також спостерігаємо ситуацію, коли значення інституційних чинників применшується та недооцінюється. Важливо також і те, що інституційні реформи відбуваються без урахування можливих наслідків. Наприклад, за роки незалежності в Україні було здійснено низку заходів з протидії корупції, проте відсутність системності та продуманості робили ці кроки неефективними. На практиці ми отримали поширення й популярність недоброченості.</w:t>
      </w:r>
    </w:p>
    <w:p w14:paraId="25E5C4A8" w14:textId="52749A8B" w:rsidR="00201896" w:rsidRPr="008816DC" w:rsidRDefault="00201896" w:rsidP="008816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16DC">
        <w:rPr>
          <w:rFonts w:ascii="Times New Roman" w:hAnsi="Times New Roman"/>
          <w:sz w:val="28"/>
          <w:szCs w:val="28"/>
          <w:lang w:val="uk-UA"/>
        </w:rPr>
        <w:t xml:space="preserve">Доброченість у законодавстві вимагає пізнання природи людей, яких треба організувати на виконання прогресивних по суті норм права. У цьому зв’язку антропологічний методологічний підхід до пізнання правових норм стає незамінним інструментом роботи. Щоправда, для багатьох юристів він </w:t>
      </w:r>
      <w:r w:rsidRPr="008816DC">
        <w:rPr>
          <w:rFonts w:ascii="Times New Roman" w:hAnsi="Times New Roman"/>
          <w:sz w:val="28"/>
          <w:szCs w:val="28"/>
          <w:lang w:val="uk-UA"/>
        </w:rPr>
        <w:lastRenderedPageBreak/>
        <w:t xml:space="preserve">поки що лишається більше теоретичним конструктом аніж ефективним засобом пізнання. Також застосування юридичної антропології виявляє тенденцію до інтердисциплінарності наукового дослідження, оскільки  вона у виробленні своєї методологічної системи координат для повного осмислення людини як цілісності, що об’єктивується у своїй поведінці в межах правових та інших відносин, не може обійтися без філософської, етнографічної, культурологічної та інших видів теоретичної та методологічної основ, у т. ч. антропологічного змісту. Визначення амбівалентних характеристик людської природи основне досягнення арсеналу методів антропологічного підходу у дослідженні проблематики права й доброчесності: якості та пороки, добре і погане, досягнення і прорахунки, істина та помилки оцінюють як ті хто створює право, так і ті для кого воно створене, у т. ч. правозастосовними. Наприклад, зміст встановлених правил і стягнень за їхнє порушення, детерміновані розумінням схильностей, вад та інших рис природи людини, а також необхідності встановити рамки для користі кожного та усіх разом, яка одночасно з обмеженнями передбачає стимулювання віри в людські дух та душу, в умовах ризиків, викликів, змін навколишнього світу та власної природи. </w:t>
      </w:r>
    </w:p>
    <w:p w14:paraId="3A1C18AC" w14:textId="68BC7251" w:rsidR="005135FC" w:rsidRPr="008816DC" w:rsidRDefault="005135FC" w:rsidP="00881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6DC">
        <w:rPr>
          <w:rFonts w:ascii="Times New Roman" w:hAnsi="Times New Roman" w:cs="Times New Roman"/>
          <w:sz w:val="28"/>
          <w:szCs w:val="28"/>
          <w:lang w:val="uk-UA"/>
        </w:rPr>
        <w:t xml:space="preserve">«Корупція» – це обов’язкова негативна ознака, яка притаманна будь-якій державі та соціуму та є характеризуючою складовою цих явищ. М. Мельник підкреслив багатоаспектність феномену корупції, вказавши, що це складне економічне, політичне, правове, морально-психологічне явище, яке віддзеркалює чистоту цих відносин суспільства, у ній знаходять своє відображення найбільш значущі для держави та суспільства проблеми. Погоджуючись з багатоаспектністю корупції Е. Невмержицький наголосив, що корупція являє собою соціально небезпечне явище, змістом якого є система негативних поглядів, настанов і діянь службових осіб інститутів влади та управління, державних і недержавних підприємств, організацій і установ, політичних партій та громадських організацій, спрямованих на задоволення особистих, групових або корпоративних інтересів шляхом використання свого </w:t>
      </w:r>
      <w:r w:rsidRPr="008816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службового становища, всупереч інтересам суспільства і держави. В. Сташис корупцію визначив як вкрай небезпечне для держави негативне соціально-правове явище, тому що вона підриває авторитет державного апарату, дискредитує його діяльність, завдає економічної й політичної шкоди, гальмує розвиток реформ, практично знижує ефективність розроблених програм. </w:t>
      </w:r>
    </w:p>
    <w:p w14:paraId="62EB42D1" w14:textId="347C3491" w:rsidR="005135FC" w:rsidRPr="008816DC" w:rsidRDefault="005135FC" w:rsidP="00881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6DC">
        <w:rPr>
          <w:rFonts w:ascii="Times New Roman" w:hAnsi="Times New Roman" w:cs="Times New Roman"/>
          <w:sz w:val="28"/>
          <w:szCs w:val="28"/>
          <w:lang w:val="uk-UA"/>
        </w:rPr>
        <w:t xml:space="preserve">Як бачимо, домінуюча правова позиція вчених засновується на визнанні суспільної небезпеки (шкідливості) корупції й зарахуванні до змісту цього поняття не тільки підкупу державних службовців, проте й зловживання владою у власних чи інших кон᾽юктурних інтересах, у т. ч. як наслідків такого підкупу. Наведені поняття «корупції» перебувають у дискурсі, який можна образно окреслити відомим латинським прислів’ям: «Male parta, male dilabuntur – ганебно придбане – ганебно й пропаде. Водночас закони діалектичної логіки дозволяють припустити наявність позитивних впливів корупції на розвиток правових відносин, зокрема на які звернули увагу: корупція поряд з негативними наслідками гуманізує роботу апарату держави, виявляє логіки дарування, домовленостей і посередництва, мереж соціальної солідарності, перерозподілу накопичень. </w:t>
      </w:r>
    </w:p>
    <w:p w14:paraId="413342D5" w14:textId="77777777" w:rsidR="008816DC" w:rsidRPr="008816DC" w:rsidRDefault="008816DC" w:rsidP="00881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16DC" w:rsidRPr="0088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6D168" w14:textId="77777777" w:rsidR="003B5A35" w:rsidRDefault="003B5A35" w:rsidP="000E52F3">
      <w:pPr>
        <w:spacing w:after="0" w:line="240" w:lineRule="auto"/>
      </w:pPr>
      <w:r>
        <w:separator/>
      </w:r>
    </w:p>
  </w:endnote>
  <w:endnote w:type="continuationSeparator" w:id="0">
    <w:p w14:paraId="1DBA328B" w14:textId="77777777" w:rsidR="003B5A35" w:rsidRDefault="003B5A35" w:rsidP="000E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6E14A" w14:textId="77777777" w:rsidR="003B5A35" w:rsidRDefault="003B5A35" w:rsidP="000E52F3">
      <w:pPr>
        <w:spacing w:after="0" w:line="240" w:lineRule="auto"/>
      </w:pPr>
      <w:r>
        <w:separator/>
      </w:r>
    </w:p>
  </w:footnote>
  <w:footnote w:type="continuationSeparator" w:id="0">
    <w:p w14:paraId="0615672D" w14:textId="77777777" w:rsidR="003B5A35" w:rsidRDefault="003B5A35" w:rsidP="000E5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11CA"/>
    <w:multiLevelType w:val="hybridMultilevel"/>
    <w:tmpl w:val="52A645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7114"/>
    <w:multiLevelType w:val="hybridMultilevel"/>
    <w:tmpl w:val="76CCE83E"/>
    <w:lvl w:ilvl="0" w:tplc="FE942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A71B69"/>
    <w:multiLevelType w:val="hybridMultilevel"/>
    <w:tmpl w:val="E18E8DF2"/>
    <w:lvl w:ilvl="0" w:tplc="9582399E">
      <w:start w:val="1"/>
      <w:numFmt w:val="decimal"/>
      <w:lvlText w:val="%1."/>
      <w:lvlJc w:val="left"/>
      <w:pPr>
        <w:ind w:left="927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5804C1"/>
    <w:multiLevelType w:val="hybridMultilevel"/>
    <w:tmpl w:val="5CFA6B14"/>
    <w:lvl w:ilvl="0" w:tplc="02D61E7C">
      <w:start w:val="1"/>
      <w:numFmt w:val="decimal"/>
      <w:lvlText w:val="%1."/>
      <w:lvlJc w:val="left"/>
      <w:pPr>
        <w:ind w:left="1302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027884"/>
    <w:multiLevelType w:val="hybridMultilevel"/>
    <w:tmpl w:val="A6F80F08"/>
    <w:lvl w:ilvl="0" w:tplc="8DBE4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3D332A"/>
    <w:multiLevelType w:val="hybridMultilevel"/>
    <w:tmpl w:val="080063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06B4EAA"/>
    <w:multiLevelType w:val="hybridMultilevel"/>
    <w:tmpl w:val="12B632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6E"/>
    <w:rsid w:val="00003B49"/>
    <w:rsid w:val="0000795C"/>
    <w:rsid w:val="00017E0D"/>
    <w:rsid w:val="0005106E"/>
    <w:rsid w:val="00074A57"/>
    <w:rsid w:val="00082BFD"/>
    <w:rsid w:val="000C1E69"/>
    <w:rsid w:val="000E52F3"/>
    <w:rsid w:val="00114CA3"/>
    <w:rsid w:val="001A7F29"/>
    <w:rsid w:val="001E4CFE"/>
    <w:rsid w:val="001F4558"/>
    <w:rsid w:val="00201896"/>
    <w:rsid w:val="002213BD"/>
    <w:rsid w:val="0022494C"/>
    <w:rsid w:val="002471DD"/>
    <w:rsid w:val="0025424A"/>
    <w:rsid w:val="00257576"/>
    <w:rsid w:val="00283842"/>
    <w:rsid w:val="002A418F"/>
    <w:rsid w:val="002C3FD0"/>
    <w:rsid w:val="003B0910"/>
    <w:rsid w:val="003B5A35"/>
    <w:rsid w:val="004053ED"/>
    <w:rsid w:val="00405AC9"/>
    <w:rsid w:val="004231FE"/>
    <w:rsid w:val="00423B2C"/>
    <w:rsid w:val="004640AF"/>
    <w:rsid w:val="004F614F"/>
    <w:rsid w:val="005135FC"/>
    <w:rsid w:val="005278EF"/>
    <w:rsid w:val="00610B1F"/>
    <w:rsid w:val="00614AA5"/>
    <w:rsid w:val="006E4EEC"/>
    <w:rsid w:val="006F2524"/>
    <w:rsid w:val="007213D6"/>
    <w:rsid w:val="0072477F"/>
    <w:rsid w:val="00724AC0"/>
    <w:rsid w:val="008009A2"/>
    <w:rsid w:val="00840309"/>
    <w:rsid w:val="00845254"/>
    <w:rsid w:val="0085167D"/>
    <w:rsid w:val="00867F5E"/>
    <w:rsid w:val="008816DC"/>
    <w:rsid w:val="009010A1"/>
    <w:rsid w:val="0091061E"/>
    <w:rsid w:val="00994E6B"/>
    <w:rsid w:val="009C00B4"/>
    <w:rsid w:val="009D536B"/>
    <w:rsid w:val="00A21B30"/>
    <w:rsid w:val="00B402E7"/>
    <w:rsid w:val="00B81842"/>
    <w:rsid w:val="00BA4ED8"/>
    <w:rsid w:val="00BD6864"/>
    <w:rsid w:val="00C22C2B"/>
    <w:rsid w:val="00D5456C"/>
    <w:rsid w:val="00D86922"/>
    <w:rsid w:val="00DE5B0C"/>
    <w:rsid w:val="00E0003B"/>
    <w:rsid w:val="00E01E97"/>
    <w:rsid w:val="00E37008"/>
    <w:rsid w:val="00E54B14"/>
    <w:rsid w:val="00E55101"/>
    <w:rsid w:val="00E661C8"/>
    <w:rsid w:val="00E913B5"/>
    <w:rsid w:val="00F038E4"/>
    <w:rsid w:val="00FA6D50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766E"/>
  <w15:chartTrackingRefBased/>
  <w15:docId w15:val="{D47C8A18-DAB4-4D06-AEC6-59063BB8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E52F3"/>
  </w:style>
  <w:style w:type="paragraph" w:styleId="a3">
    <w:name w:val="List Paragraph"/>
    <w:basedOn w:val="a"/>
    <w:uiPriority w:val="34"/>
    <w:qFormat/>
    <w:rsid w:val="000E52F3"/>
    <w:pPr>
      <w:spacing w:after="200" w:line="276" w:lineRule="auto"/>
      <w:ind w:left="720"/>
      <w:contextualSpacing/>
    </w:pPr>
    <w:rPr>
      <w:lang w:val="uk-UA"/>
    </w:rPr>
  </w:style>
  <w:style w:type="paragraph" w:styleId="a4">
    <w:name w:val="footnote text"/>
    <w:basedOn w:val="a"/>
    <w:link w:val="a5"/>
    <w:uiPriority w:val="99"/>
    <w:semiHidden/>
    <w:unhideWhenUsed/>
    <w:rsid w:val="000E52F3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/>
    </w:rPr>
  </w:style>
  <w:style w:type="character" w:customStyle="1" w:styleId="a5">
    <w:name w:val="Текст сноски Знак"/>
    <w:basedOn w:val="a0"/>
    <w:link w:val="a4"/>
    <w:uiPriority w:val="99"/>
    <w:semiHidden/>
    <w:rsid w:val="000E52F3"/>
    <w:rPr>
      <w:rFonts w:ascii="Calibri" w:eastAsia="Calibri" w:hAnsi="Calibri" w:cs="Times New Roman"/>
      <w:sz w:val="20"/>
      <w:szCs w:val="20"/>
      <w:lang w:val="it-IT"/>
    </w:rPr>
  </w:style>
  <w:style w:type="character" w:styleId="a6">
    <w:name w:val="footnote reference"/>
    <w:basedOn w:val="a0"/>
    <w:uiPriority w:val="99"/>
    <w:semiHidden/>
    <w:unhideWhenUsed/>
    <w:rsid w:val="000E52F3"/>
    <w:rPr>
      <w:vertAlign w:val="superscript"/>
    </w:rPr>
  </w:style>
  <w:style w:type="table" w:styleId="a7">
    <w:name w:val="Table Grid"/>
    <w:basedOn w:val="a1"/>
    <w:rsid w:val="000E52F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E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DE5B0C"/>
  </w:style>
  <w:style w:type="character" w:customStyle="1" w:styleId="rvts11">
    <w:name w:val="rvts11"/>
    <w:basedOn w:val="a0"/>
    <w:rsid w:val="00DE5B0C"/>
  </w:style>
  <w:style w:type="character" w:styleId="a8">
    <w:name w:val="Hyperlink"/>
    <w:basedOn w:val="a0"/>
    <w:uiPriority w:val="99"/>
    <w:semiHidden/>
    <w:unhideWhenUsed/>
    <w:rsid w:val="00DE5B0C"/>
    <w:rPr>
      <w:color w:val="0000FF"/>
      <w:u w:val="single"/>
    </w:rPr>
  </w:style>
  <w:style w:type="character" w:customStyle="1" w:styleId="hps">
    <w:name w:val="hps"/>
    <w:rsid w:val="00082BFD"/>
  </w:style>
  <w:style w:type="character" w:customStyle="1" w:styleId="tlid-translation">
    <w:name w:val="tlid-translation"/>
    <w:basedOn w:val="a0"/>
    <w:rsid w:val="00082BFD"/>
  </w:style>
  <w:style w:type="paragraph" w:styleId="a9">
    <w:name w:val="Body Text Indent"/>
    <w:basedOn w:val="a"/>
    <w:link w:val="aa"/>
    <w:rsid w:val="00074A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74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F252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9F56E-B510-4976-9547-A3D851E9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Olexiy</dc:creator>
  <cp:keywords/>
  <dc:description/>
  <cp:lastModifiedBy>Olexiy</cp:lastModifiedBy>
  <cp:revision>50</cp:revision>
  <dcterms:created xsi:type="dcterms:W3CDTF">2020-05-02T20:37:00Z</dcterms:created>
  <dcterms:modified xsi:type="dcterms:W3CDTF">2020-09-09T12:49:00Z</dcterms:modified>
</cp:coreProperties>
</file>