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378C16" w14:textId="3D34C1DD" w:rsidR="00E01E97" w:rsidRPr="00F30C53" w:rsidRDefault="0091061E" w:rsidP="00EA4B53">
      <w:pPr>
        <w:spacing w:after="0" w:line="360" w:lineRule="auto"/>
        <w:ind w:firstLine="567"/>
        <w:jc w:val="both"/>
        <w:rPr>
          <w:rFonts w:ascii="Times New Roman" w:hAnsi="Times New Roman" w:cs="Times New Roman"/>
          <w:b/>
          <w:bCs/>
          <w:sz w:val="28"/>
          <w:szCs w:val="28"/>
          <w:lang w:val="uk-UA"/>
        </w:rPr>
      </w:pPr>
      <w:bookmarkStart w:id="0" w:name="_Hlk39361993"/>
      <w:r w:rsidRPr="00F30C53">
        <w:rPr>
          <w:rFonts w:ascii="Times New Roman" w:hAnsi="Times New Roman" w:cs="Times New Roman"/>
          <w:b/>
          <w:bCs/>
          <w:sz w:val="28"/>
          <w:szCs w:val="28"/>
          <w:lang w:val="uk-UA"/>
        </w:rPr>
        <w:t xml:space="preserve">Лекція </w:t>
      </w:r>
      <w:r w:rsidR="00DD3D43" w:rsidRPr="00F30C53">
        <w:rPr>
          <w:rFonts w:ascii="Times New Roman" w:hAnsi="Times New Roman" w:cs="Times New Roman"/>
          <w:b/>
          <w:bCs/>
          <w:sz w:val="28"/>
          <w:szCs w:val="28"/>
          <w:lang w:val="uk-UA"/>
        </w:rPr>
        <w:t>6</w:t>
      </w:r>
      <w:r w:rsidRPr="00F30C53">
        <w:rPr>
          <w:rFonts w:ascii="Times New Roman" w:hAnsi="Times New Roman" w:cs="Times New Roman"/>
          <w:b/>
          <w:bCs/>
          <w:sz w:val="28"/>
          <w:szCs w:val="28"/>
          <w:lang w:val="uk-UA"/>
        </w:rPr>
        <w:t xml:space="preserve">. </w:t>
      </w:r>
      <w:r w:rsidR="00EA4B53" w:rsidRPr="00F30C53">
        <w:rPr>
          <w:rFonts w:ascii="Times New Roman" w:hAnsi="Times New Roman" w:cs="Times New Roman"/>
          <w:b/>
          <w:bCs/>
          <w:sz w:val="28"/>
          <w:szCs w:val="28"/>
          <w:lang w:val="uk-UA"/>
        </w:rPr>
        <w:t>А</w:t>
      </w:r>
      <w:r w:rsidRPr="00F30C53">
        <w:rPr>
          <w:rFonts w:ascii="Times New Roman" w:hAnsi="Times New Roman" w:cs="Times New Roman"/>
          <w:b/>
          <w:bCs/>
          <w:sz w:val="28"/>
          <w:szCs w:val="28"/>
          <w:lang w:val="uk-UA"/>
        </w:rPr>
        <w:t>ксіологічні</w:t>
      </w:r>
      <w:r w:rsidR="00EA4B53" w:rsidRPr="00F30C53">
        <w:rPr>
          <w:rFonts w:ascii="Times New Roman" w:hAnsi="Times New Roman" w:cs="Times New Roman"/>
          <w:b/>
          <w:bCs/>
          <w:sz w:val="28"/>
          <w:szCs w:val="28"/>
          <w:lang w:val="uk-UA"/>
        </w:rPr>
        <w:t xml:space="preserve"> </w:t>
      </w:r>
      <w:r w:rsidRPr="00F30C53">
        <w:rPr>
          <w:rFonts w:ascii="Times New Roman" w:hAnsi="Times New Roman" w:cs="Times New Roman"/>
          <w:b/>
          <w:bCs/>
          <w:sz w:val="28"/>
          <w:szCs w:val="28"/>
          <w:lang w:val="uk-UA"/>
        </w:rPr>
        <w:t>детермінанти доброчесності у правових відносинах.</w:t>
      </w:r>
    </w:p>
    <w:bookmarkEnd w:id="0"/>
    <w:p w14:paraId="43C674A2" w14:textId="122AF0A2" w:rsidR="0000795C" w:rsidRPr="00F30C53" w:rsidRDefault="00BA4ED8" w:rsidP="00EA4B53">
      <w:pPr>
        <w:spacing w:after="0" w:line="360" w:lineRule="auto"/>
        <w:jc w:val="right"/>
        <w:rPr>
          <w:rFonts w:ascii="Times New Roman" w:hAnsi="Times New Roman" w:cs="Times New Roman"/>
          <w:b/>
          <w:bCs/>
          <w:sz w:val="28"/>
          <w:szCs w:val="28"/>
          <w:lang w:val="uk-UA"/>
        </w:rPr>
      </w:pPr>
      <w:r w:rsidRPr="00F30C53">
        <w:rPr>
          <w:rFonts w:ascii="Times New Roman" w:hAnsi="Times New Roman" w:cs="Times New Roman"/>
          <w:sz w:val="28"/>
          <w:szCs w:val="28"/>
          <w:lang w:val="uk-UA"/>
        </w:rPr>
        <w:t>©</w:t>
      </w:r>
      <w:r w:rsidR="00257576" w:rsidRPr="00F30C53">
        <w:rPr>
          <w:rFonts w:ascii="Times New Roman" w:hAnsi="Times New Roman" w:cs="Times New Roman"/>
          <w:b/>
          <w:bCs/>
          <w:sz w:val="28"/>
          <w:szCs w:val="28"/>
          <w:lang w:val="uk-UA"/>
        </w:rPr>
        <w:t> </w:t>
      </w:r>
      <w:proofErr w:type="spellStart"/>
      <w:r w:rsidRPr="00F30C53">
        <w:rPr>
          <w:rFonts w:ascii="Times New Roman" w:hAnsi="Times New Roman" w:cs="Times New Roman"/>
          <w:b/>
          <w:bCs/>
          <w:sz w:val="28"/>
          <w:szCs w:val="28"/>
          <w:lang w:val="uk-UA"/>
        </w:rPr>
        <w:t>Макаренков</w:t>
      </w:r>
      <w:proofErr w:type="spellEnd"/>
      <w:r w:rsidRPr="00F30C53">
        <w:rPr>
          <w:rFonts w:ascii="Times New Roman" w:hAnsi="Times New Roman" w:cs="Times New Roman"/>
          <w:b/>
          <w:bCs/>
          <w:sz w:val="28"/>
          <w:szCs w:val="28"/>
          <w:lang w:val="uk-UA"/>
        </w:rPr>
        <w:t xml:space="preserve"> О. Л., 2020</w:t>
      </w:r>
    </w:p>
    <w:p w14:paraId="4AC1065A" w14:textId="77777777" w:rsidR="00003B49" w:rsidRPr="00F30C53" w:rsidRDefault="00003B49" w:rsidP="00EA4B53">
      <w:pPr>
        <w:spacing w:after="0" w:line="360" w:lineRule="auto"/>
        <w:ind w:firstLine="567"/>
        <w:jc w:val="both"/>
        <w:rPr>
          <w:rFonts w:ascii="Times New Roman" w:hAnsi="Times New Roman" w:cs="Times New Roman"/>
          <w:b/>
          <w:bCs/>
          <w:sz w:val="28"/>
          <w:szCs w:val="28"/>
          <w:lang w:val="uk-UA"/>
        </w:rPr>
      </w:pPr>
    </w:p>
    <w:p w14:paraId="766F3EF0" w14:textId="77777777" w:rsidR="005135FC" w:rsidRPr="00F30C53" w:rsidRDefault="005135FC" w:rsidP="00EA4B53">
      <w:pPr>
        <w:spacing w:after="0" w:line="360" w:lineRule="auto"/>
        <w:ind w:firstLine="567"/>
        <w:jc w:val="both"/>
        <w:rPr>
          <w:rFonts w:ascii="Times New Roman" w:hAnsi="Times New Roman" w:cs="Times New Roman"/>
          <w:sz w:val="28"/>
          <w:szCs w:val="28"/>
          <w:lang w:val="uk-UA"/>
        </w:rPr>
      </w:pPr>
      <w:r w:rsidRPr="00F30C53">
        <w:rPr>
          <w:rFonts w:ascii="Times New Roman" w:hAnsi="Times New Roman" w:cs="Times New Roman"/>
          <w:sz w:val="28"/>
          <w:szCs w:val="28"/>
          <w:lang w:val="uk-UA"/>
        </w:rPr>
        <w:t xml:space="preserve">За ст. 5 Конвенції ООН проти корупції від 31.10.2003, ратифікованої Україною Законом №251-V від 18.10.2006 року, кожна Держава-учасниця, згідно з основоположними принципами своєї правової системи, розробляє й здійснює або проводить ефективну скоординовану політику протидії корупції,  яка сприяє участі суспільства і яка відображає принципи правопорядку, належного управління державними справами й  державним майном, чесності й непідкупності, прозорості й відповідальності (п.1). Кожна Держава-учасниця прагне періодично проводити оцінку відповідних правових інструментів й адміністративних заходів з метою визначення їхньої  адекватності  з точки  зору запобігання корупції та боротьби з нею (ч.3). </w:t>
      </w:r>
    </w:p>
    <w:p w14:paraId="24CE766C" w14:textId="77777777" w:rsidR="005135FC" w:rsidRPr="00F30C53" w:rsidRDefault="005135FC" w:rsidP="00EA4B53">
      <w:pPr>
        <w:spacing w:after="0" w:line="360" w:lineRule="auto"/>
        <w:ind w:firstLine="567"/>
        <w:jc w:val="both"/>
        <w:rPr>
          <w:rFonts w:ascii="Times New Roman" w:hAnsi="Times New Roman" w:cs="Times New Roman"/>
          <w:sz w:val="28"/>
          <w:szCs w:val="28"/>
          <w:lang w:val="uk-UA"/>
        </w:rPr>
      </w:pPr>
      <w:r w:rsidRPr="00F30C53">
        <w:rPr>
          <w:rFonts w:ascii="Times New Roman" w:hAnsi="Times New Roman" w:cs="Times New Roman"/>
          <w:sz w:val="28"/>
          <w:szCs w:val="28"/>
          <w:lang w:val="uk-UA"/>
        </w:rPr>
        <w:t xml:space="preserve">У світовому Індексі сприйняття корупції (СРІ) за 2016 рік Україна отримала 29 балів зі 100 можливих й посідає 131 місце зі 176 країн. Цю сходинку із показником 29 балів разом з нами розділили Казахстан, Росія, Непал та Іран. Результати дослідження </w:t>
      </w:r>
      <w:proofErr w:type="spellStart"/>
      <w:r w:rsidRPr="00F30C53">
        <w:rPr>
          <w:rFonts w:ascii="Times New Roman" w:hAnsi="Times New Roman" w:cs="Times New Roman"/>
          <w:sz w:val="28"/>
          <w:szCs w:val="28"/>
          <w:lang w:val="uk-UA"/>
        </w:rPr>
        <w:t>World</w:t>
      </w:r>
      <w:proofErr w:type="spellEnd"/>
      <w:r w:rsidRPr="00F30C53">
        <w:rPr>
          <w:rFonts w:ascii="Times New Roman" w:hAnsi="Times New Roman" w:cs="Times New Roman"/>
          <w:sz w:val="28"/>
          <w:szCs w:val="28"/>
          <w:lang w:val="uk-UA"/>
        </w:rPr>
        <w:t xml:space="preserve"> </w:t>
      </w:r>
      <w:proofErr w:type="spellStart"/>
      <w:r w:rsidRPr="00F30C53">
        <w:rPr>
          <w:rFonts w:ascii="Times New Roman" w:hAnsi="Times New Roman" w:cs="Times New Roman"/>
          <w:sz w:val="28"/>
          <w:szCs w:val="28"/>
          <w:lang w:val="uk-UA"/>
        </w:rPr>
        <w:t>Justice</w:t>
      </w:r>
      <w:proofErr w:type="spellEnd"/>
      <w:r w:rsidRPr="00F30C53">
        <w:rPr>
          <w:rFonts w:ascii="Times New Roman" w:hAnsi="Times New Roman" w:cs="Times New Roman"/>
          <w:sz w:val="28"/>
          <w:szCs w:val="28"/>
          <w:lang w:val="uk-UA"/>
        </w:rPr>
        <w:t xml:space="preserve"> Project </w:t>
      </w:r>
      <w:proofErr w:type="spellStart"/>
      <w:r w:rsidRPr="00F30C53">
        <w:rPr>
          <w:rFonts w:ascii="Times New Roman" w:hAnsi="Times New Roman" w:cs="Times New Roman"/>
          <w:sz w:val="28"/>
          <w:szCs w:val="28"/>
          <w:lang w:val="uk-UA"/>
        </w:rPr>
        <w:t>Rule</w:t>
      </w:r>
      <w:proofErr w:type="spellEnd"/>
      <w:r w:rsidRPr="00F30C53">
        <w:rPr>
          <w:rFonts w:ascii="Times New Roman" w:hAnsi="Times New Roman" w:cs="Times New Roman"/>
          <w:sz w:val="28"/>
          <w:szCs w:val="28"/>
          <w:lang w:val="uk-UA"/>
        </w:rPr>
        <w:t xml:space="preserve"> </w:t>
      </w:r>
      <w:proofErr w:type="spellStart"/>
      <w:r w:rsidRPr="00F30C53">
        <w:rPr>
          <w:rFonts w:ascii="Times New Roman" w:hAnsi="Times New Roman" w:cs="Times New Roman"/>
          <w:sz w:val="28"/>
          <w:szCs w:val="28"/>
          <w:lang w:val="uk-UA"/>
        </w:rPr>
        <w:t>of</w:t>
      </w:r>
      <w:proofErr w:type="spellEnd"/>
      <w:r w:rsidRPr="00F30C53">
        <w:rPr>
          <w:rFonts w:ascii="Times New Roman" w:hAnsi="Times New Roman" w:cs="Times New Roman"/>
          <w:sz w:val="28"/>
          <w:szCs w:val="28"/>
          <w:lang w:val="uk-UA"/>
        </w:rPr>
        <w:t xml:space="preserve"> </w:t>
      </w:r>
      <w:proofErr w:type="spellStart"/>
      <w:r w:rsidRPr="00F30C53">
        <w:rPr>
          <w:rFonts w:ascii="Times New Roman" w:hAnsi="Times New Roman" w:cs="Times New Roman"/>
          <w:sz w:val="28"/>
          <w:szCs w:val="28"/>
          <w:lang w:val="uk-UA"/>
        </w:rPr>
        <w:t>Law</w:t>
      </w:r>
      <w:proofErr w:type="spellEnd"/>
      <w:r w:rsidRPr="00F30C53">
        <w:rPr>
          <w:rFonts w:ascii="Times New Roman" w:hAnsi="Times New Roman" w:cs="Times New Roman"/>
          <w:sz w:val="28"/>
          <w:szCs w:val="28"/>
          <w:lang w:val="uk-UA"/>
        </w:rPr>
        <w:t xml:space="preserve"> </w:t>
      </w:r>
      <w:proofErr w:type="spellStart"/>
      <w:r w:rsidRPr="00F30C53">
        <w:rPr>
          <w:rFonts w:ascii="Times New Roman" w:hAnsi="Times New Roman" w:cs="Times New Roman"/>
          <w:sz w:val="28"/>
          <w:szCs w:val="28"/>
          <w:lang w:val="uk-UA"/>
        </w:rPr>
        <w:t>Index</w:t>
      </w:r>
      <w:proofErr w:type="spellEnd"/>
      <w:r w:rsidRPr="00F30C53">
        <w:rPr>
          <w:rFonts w:ascii="Times New Roman" w:hAnsi="Times New Roman" w:cs="Times New Roman"/>
          <w:sz w:val="28"/>
          <w:szCs w:val="28"/>
          <w:lang w:val="uk-UA"/>
        </w:rPr>
        <w:t xml:space="preserve">, що враховується в побудові СРІ доводять, що показник нашої держави в цьому Індексі виріс на +10 балів порівняно з минулими роками і найбільше балів Україні принесло: зменшення використання службового становища в органах виконавчої влади (показник покращився на 14%), зокрема у поліції та збройних силах (показник покращився на 6%), в судовій гілці зменшення рівня корупції не відбулося; впровадження підзвітності публічних </w:t>
      </w:r>
      <w:proofErr w:type="spellStart"/>
      <w:r w:rsidRPr="00F30C53">
        <w:rPr>
          <w:rFonts w:ascii="Times New Roman" w:hAnsi="Times New Roman" w:cs="Times New Roman"/>
          <w:sz w:val="28"/>
          <w:szCs w:val="28"/>
          <w:lang w:val="uk-UA"/>
        </w:rPr>
        <w:t>закупівель</w:t>
      </w:r>
      <w:proofErr w:type="spellEnd"/>
      <w:r w:rsidRPr="00F30C53">
        <w:rPr>
          <w:rFonts w:ascii="Times New Roman" w:hAnsi="Times New Roman" w:cs="Times New Roman"/>
          <w:sz w:val="28"/>
          <w:szCs w:val="28"/>
          <w:lang w:val="uk-UA"/>
        </w:rPr>
        <w:t xml:space="preserve"> через авторизований електронний майданчик / електронну систему публічних </w:t>
      </w:r>
      <w:proofErr w:type="spellStart"/>
      <w:r w:rsidRPr="00F30C53">
        <w:rPr>
          <w:rFonts w:ascii="Times New Roman" w:hAnsi="Times New Roman" w:cs="Times New Roman"/>
          <w:sz w:val="28"/>
          <w:szCs w:val="28"/>
          <w:lang w:val="uk-UA"/>
        </w:rPr>
        <w:t>закупівель</w:t>
      </w:r>
      <w:proofErr w:type="spellEnd"/>
      <w:r w:rsidRPr="00F30C53">
        <w:rPr>
          <w:rFonts w:ascii="Times New Roman" w:hAnsi="Times New Roman" w:cs="Times New Roman"/>
          <w:sz w:val="28"/>
          <w:szCs w:val="28"/>
          <w:lang w:val="uk-UA"/>
        </w:rPr>
        <w:t xml:space="preserve"> </w:t>
      </w:r>
      <w:proofErr w:type="spellStart"/>
      <w:r w:rsidRPr="00F30C53">
        <w:rPr>
          <w:rFonts w:ascii="Times New Roman" w:hAnsi="Times New Roman" w:cs="Times New Roman"/>
          <w:sz w:val="28"/>
          <w:szCs w:val="28"/>
          <w:lang w:val="uk-UA"/>
        </w:rPr>
        <w:t>Prozorro</w:t>
      </w:r>
      <w:proofErr w:type="spellEnd"/>
      <w:r w:rsidRPr="00F30C53">
        <w:rPr>
          <w:rFonts w:ascii="Times New Roman" w:hAnsi="Times New Roman" w:cs="Times New Roman"/>
          <w:sz w:val="28"/>
          <w:szCs w:val="28"/>
          <w:lang w:val="uk-UA"/>
        </w:rPr>
        <w:t xml:space="preserve"> та онлайн-платформу громадського контролю таких </w:t>
      </w:r>
      <w:proofErr w:type="spellStart"/>
      <w:r w:rsidRPr="00F30C53">
        <w:rPr>
          <w:rFonts w:ascii="Times New Roman" w:hAnsi="Times New Roman" w:cs="Times New Roman"/>
          <w:sz w:val="28"/>
          <w:szCs w:val="28"/>
          <w:lang w:val="uk-UA"/>
        </w:rPr>
        <w:t>закупівель</w:t>
      </w:r>
      <w:proofErr w:type="spellEnd"/>
      <w:r w:rsidRPr="00F30C53">
        <w:rPr>
          <w:rFonts w:ascii="Times New Roman" w:hAnsi="Times New Roman" w:cs="Times New Roman"/>
          <w:sz w:val="28"/>
          <w:szCs w:val="28"/>
          <w:lang w:val="uk-UA"/>
        </w:rPr>
        <w:t xml:space="preserve"> </w:t>
      </w:r>
      <w:proofErr w:type="spellStart"/>
      <w:r w:rsidRPr="00F30C53">
        <w:rPr>
          <w:rFonts w:ascii="Times New Roman" w:hAnsi="Times New Roman" w:cs="Times New Roman"/>
          <w:sz w:val="28"/>
          <w:szCs w:val="28"/>
          <w:lang w:val="uk-UA"/>
        </w:rPr>
        <w:t>Dozorro</w:t>
      </w:r>
      <w:proofErr w:type="spellEnd"/>
      <w:r w:rsidRPr="00F30C53">
        <w:rPr>
          <w:rFonts w:ascii="Times New Roman" w:hAnsi="Times New Roman" w:cs="Times New Roman"/>
          <w:sz w:val="28"/>
          <w:szCs w:val="28"/>
          <w:lang w:val="uk-UA"/>
        </w:rPr>
        <w:t xml:space="preserve"> (за Законом України «Про публічні закупівлі» від 25.12.2015 р. № 922-VIII); запровадження  державного фінансування партій якщо на останніх виборах народних депутатів України її виборчий список кандидатів у загальнодержавному багатомандатному  виборчому  окрузі  </w:t>
      </w:r>
      <w:r w:rsidRPr="00F30C53">
        <w:rPr>
          <w:rFonts w:ascii="Times New Roman" w:hAnsi="Times New Roman" w:cs="Times New Roman"/>
          <w:sz w:val="28"/>
          <w:szCs w:val="28"/>
          <w:lang w:val="uk-UA"/>
        </w:rPr>
        <w:lastRenderedPageBreak/>
        <w:t>отримав  не менше 2 % голосів виборців від загальної кількості голосів, поданих за всі виборчі списки кандидатів у такому окрузі (за статтями 17-1–17-9 розділу IV-1 «Державне фінансування політичних партій», Закону України «Про політичні партії в Україні» від 05.04.2001 р. № 2365-III); перші розслідування НАБУ; участь громадськості в антикорупційних реформах.</w:t>
      </w:r>
    </w:p>
    <w:p w14:paraId="33D38451" w14:textId="77777777" w:rsidR="00D86922" w:rsidRPr="00F30C53" w:rsidRDefault="005135FC" w:rsidP="00EA4B53">
      <w:pPr>
        <w:spacing w:after="0" w:line="360" w:lineRule="auto"/>
        <w:ind w:firstLine="567"/>
        <w:jc w:val="both"/>
        <w:rPr>
          <w:rFonts w:ascii="Times New Roman" w:hAnsi="Times New Roman" w:cs="Times New Roman"/>
          <w:sz w:val="28"/>
          <w:szCs w:val="28"/>
          <w:lang w:val="uk-UA"/>
        </w:rPr>
      </w:pPr>
      <w:r w:rsidRPr="00F30C53">
        <w:rPr>
          <w:rFonts w:ascii="Times New Roman" w:hAnsi="Times New Roman" w:cs="Times New Roman"/>
          <w:sz w:val="28"/>
          <w:szCs w:val="28"/>
          <w:lang w:val="uk-UA"/>
        </w:rPr>
        <w:t xml:space="preserve">Вчені наголошують, що тривкість успішних трансформацій службового права, нестійкість та втрата державою репутації обумовлюється викликами, які включають зростання регіональних розбіжностей у розподілі багатства, постійно високий рівень бідності (особливо в сільській місцевості), обмежений людський капітал, нерівномірність здійснення верховенства права та демократичних процесів, обмежена участь громадян у політичних процесах та надмірна корупція. </w:t>
      </w:r>
      <w:proofErr w:type="spellStart"/>
      <w:r w:rsidRPr="00F30C53">
        <w:rPr>
          <w:rFonts w:ascii="Times New Roman" w:hAnsi="Times New Roman" w:cs="Times New Roman"/>
          <w:sz w:val="28"/>
          <w:szCs w:val="28"/>
          <w:lang w:val="uk-UA"/>
        </w:rPr>
        <w:t>Загальноправові</w:t>
      </w:r>
      <w:proofErr w:type="spellEnd"/>
      <w:r w:rsidRPr="00F30C53">
        <w:rPr>
          <w:rFonts w:ascii="Times New Roman" w:hAnsi="Times New Roman" w:cs="Times New Roman"/>
          <w:sz w:val="28"/>
          <w:szCs w:val="28"/>
          <w:lang w:val="uk-UA"/>
        </w:rPr>
        <w:t xml:space="preserve"> антропні виміри антикорупційного законодавства в умовах розбудови відкритого суспільства (у т. ч. в Україні) являють собою характеристики культур </w:t>
      </w:r>
      <w:proofErr w:type="spellStart"/>
      <w:r w:rsidRPr="00F30C53">
        <w:rPr>
          <w:rFonts w:ascii="Times New Roman" w:hAnsi="Times New Roman" w:cs="Times New Roman"/>
          <w:sz w:val="28"/>
          <w:szCs w:val="28"/>
          <w:lang w:val="uk-UA"/>
        </w:rPr>
        <w:t>homo</w:t>
      </w:r>
      <w:proofErr w:type="spellEnd"/>
      <w:r w:rsidRPr="00F30C53">
        <w:rPr>
          <w:rFonts w:ascii="Times New Roman" w:hAnsi="Times New Roman" w:cs="Times New Roman"/>
          <w:sz w:val="28"/>
          <w:szCs w:val="28"/>
          <w:lang w:val="uk-UA"/>
        </w:rPr>
        <w:t xml:space="preserve"> </w:t>
      </w:r>
      <w:proofErr w:type="spellStart"/>
      <w:r w:rsidRPr="00F30C53">
        <w:rPr>
          <w:rFonts w:ascii="Times New Roman" w:hAnsi="Times New Roman" w:cs="Times New Roman"/>
          <w:sz w:val="28"/>
          <w:szCs w:val="28"/>
          <w:lang w:val="uk-UA"/>
        </w:rPr>
        <w:t>juridicus</w:t>
      </w:r>
      <w:proofErr w:type="spellEnd"/>
      <w:r w:rsidRPr="00F30C53">
        <w:rPr>
          <w:rFonts w:ascii="Times New Roman" w:hAnsi="Times New Roman" w:cs="Times New Roman"/>
          <w:sz w:val="28"/>
          <w:szCs w:val="28"/>
          <w:lang w:val="uk-UA"/>
        </w:rPr>
        <w:t xml:space="preserve">, політиків, підприємців та пересічних громадян. Їхнє перехрещення обумовлює винайдення у законодавстві балансу прийнятних для них уявлень про правомірне й неправомірне у сфері благ. Далі, суб’єктивовані з питань правил обігу благ енергії об’єктивуються у соціальні практики, прогресивне корегування яких за пропозиціями вчених можливе рівно настільки, наскільки рівень культури інших щиро сприймають, переймають й продовжують антикорупційний прогрес. </w:t>
      </w:r>
      <w:r w:rsidRPr="00F30C53">
        <w:rPr>
          <w:rFonts w:ascii="Times New Roman" w:hAnsi="Times New Roman" w:cs="Times New Roman"/>
          <w:color w:val="FF0000"/>
          <w:sz w:val="28"/>
          <w:szCs w:val="28"/>
          <w:lang w:val="uk-UA"/>
        </w:rPr>
        <w:t xml:space="preserve">На рівні індивідуальної свідомості прогрес </w:t>
      </w:r>
      <w:r w:rsidRPr="00F30C53">
        <w:rPr>
          <w:rFonts w:ascii="Times New Roman" w:hAnsi="Times New Roman" w:cs="Times New Roman"/>
          <w:sz w:val="28"/>
          <w:szCs w:val="28"/>
          <w:lang w:val="uk-UA"/>
        </w:rPr>
        <w:t xml:space="preserve">триває й перетворює соціальні спільноти із закритих, транзитивних на відкриті у діяннях вчених і/або інших пасіонарних лідерів. </w:t>
      </w:r>
    </w:p>
    <w:p w14:paraId="1FA1E32E" w14:textId="5487F011" w:rsidR="005135FC" w:rsidRPr="00F30C53" w:rsidRDefault="005135FC" w:rsidP="00EA4B53">
      <w:pPr>
        <w:spacing w:after="0" w:line="360" w:lineRule="auto"/>
        <w:ind w:firstLine="567"/>
        <w:jc w:val="both"/>
        <w:rPr>
          <w:rFonts w:ascii="Times New Roman" w:hAnsi="Times New Roman" w:cs="Times New Roman"/>
          <w:sz w:val="28"/>
          <w:szCs w:val="28"/>
          <w:lang w:val="uk-UA"/>
        </w:rPr>
      </w:pPr>
      <w:r w:rsidRPr="00F30C53">
        <w:rPr>
          <w:rFonts w:ascii="Times New Roman" w:hAnsi="Times New Roman" w:cs="Times New Roman"/>
          <w:sz w:val="28"/>
          <w:szCs w:val="28"/>
          <w:lang w:val="uk-UA"/>
        </w:rPr>
        <w:t xml:space="preserve">Як слушно відзначив Ю. Шевцов: «Корупція – це соціальне явище, а не природа людини» (ЛНУ ім. І. Франка, 25.11.2017). Застосовані антропологічні методи дослідження (спостереження, інтерв’ювання, юридична практика автора, вивчення справ судової практики) виявили: </w:t>
      </w:r>
      <w:bookmarkStart w:id="1" w:name="_Hlk39362647"/>
      <w:r w:rsidRPr="00F30C53">
        <w:rPr>
          <w:rFonts w:ascii="Times New Roman" w:hAnsi="Times New Roman" w:cs="Times New Roman"/>
          <w:sz w:val="28"/>
          <w:szCs w:val="28"/>
          <w:lang w:val="uk-UA"/>
        </w:rPr>
        <w:t xml:space="preserve">1) засмученість і зневіру пересічних громадян внаслідок очевидної недолугості, нерівного ставлення і/або несправедливості з боку окремих державних службовців; 2) налаштованість громадян вирішувати питання з органами публічної влади </w:t>
      </w:r>
      <w:r w:rsidRPr="00F30C53">
        <w:rPr>
          <w:rFonts w:ascii="Times New Roman" w:hAnsi="Times New Roman" w:cs="Times New Roman"/>
          <w:sz w:val="28"/>
          <w:szCs w:val="28"/>
          <w:lang w:val="uk-UA"/>
        </w:rPr>
        <w:lastRenderedPageBreak/>
        <w:t xml:space="preserve">за рахунок передачі матеріальних благ і навпаки; 3) вимушеність через недофінансування доброчесних посадових осіб окремих органів публічної влади отримувати матеріальні вигоди від сторонніх осіб для якісного виконання своїх професійних обов’язків; </w:t>
      </w:r>
      <w:bookmarkEnd w:id="1"/>
      <w:r w:rsidRPr="00F30C53">
        <w:rPr>
          <w:rFonts w:ascii="Times New Roman" w:hAnsi="Times New Roman" w:cs="Times New Roman"/>
          <w:sz w:val="28"/>
          <w:szCs w:val="28"/>
          <w:lang w:val="uk-UA"/>
        </w:rPr>
        <w:t>4) неоднозначність судової практики у справах про притягнення до юридичної відповідальності за корупційні правопорушення.</w:t>
      </w:r>
    </w:p>
    <w:p w14:paraId="1369B0AA" w14:textId="77777777" w:rsidR="00D86922" w:rsidRPr="00F30C53" w:rsidRDefault="005135FC" w:rsidP="00EA4B53">
      <w:pPr>
        <w:spacing w:after="0" w:line="360" w:lineRule="auto"/>
        <w:ind w:firstLine="567"/>
        <w:jc w:val="both"/>
        <w:rPr>
          <w:rFonts w:ascii="Times New Roman" w:hAnsi="Times New Roman" w:cs="Times New Roman"/>
          <w:sz w:val="28"/>
          <w:szCs w:val="28"/>
          <w:lang w:val="uk-UA"/>
        </w:rPr>
      </w:pPr>
      <w:r w:rsidRPr="00F30C53">
        <w:rPr>
          <w:rFonts w:ascii="Times New Roman" w:hAnsi="Times New Roman" w:cs="Times New Roman"/>
          <w:sz w:val="28"/>
          <w:szCs w:val="28"/>
          <w:lang w:val="uk-UA"/>
        </w:rPr>
        <w:t>Утім, здебільшого, як переконує логіка історії хижацького збагачення публічної влади, такий прогрес у сфері подолання неприйнятного рівня корупції відбувається у </w:t>
      </w:r>
      <w:proofErr w:type="spellStart"/>
      <w:r w:rsidRPr="00F30C53">
        <w:rPr>
          <w:rFonts w:ascii="Times New Roman" w:hAnsi="Times New Roman" w:cs="Times New Roman"/>
          <w:sz w:val="28"/>
          <w:szCs w:val="28"/>
          <w:lang w:val="uk-UA"/>
        </w:rPr>
        <w:t>соціовимірних</w:t>
      </w:r>
      <w:proofErr w:type="spellEnd"/>
      <w:r w:rsidRPr="00F30C53">
        <w:rPr>
          <w:rFonts w:ascii="Times New Roman" w:hAnsi="Times New Roman" w:cs="Times New Roman"/>
          <w:sz w:val="28"/>
          <w:szCs w:val="28"/>
          <w:lang w:val="uk-UA"/>
        </w:rPr>
        <w:t xml:space="preserve"> формах. </w:t>
      </w:r>
    </w:p>
    <w:p w14:paraId="681B1298" w14:textId="77777777" w:rsidR="003B0910" w:rsidRPr="00F30C53" w:rsidRDefault="005135FC" w:rsidP="00EA4B53">
      <w:pPr>
        <w:spacing w:after="0" w:line="360" w:lineRule="auto"/>
        <w:ind w:firstLine="567"/>
        <w:jc w:val="both"/>
        <w:rPr>
          <w:rFonts w:ascii="Times New Roman" w:hAnsi="Times New Roman" w:cs="Times New Roman"/>
          <w:sz w:val="28"/>
          <w:szCs w:val="28"/>
          <w:lang w:val="uk-UA"/>
        </w:rPr>
      </w:pPr>
      <w:r w:rsidRPr="00F30C53">
        <w:rPr>
          <w:rFonts w:ascii="Times New Roman" w:hAnsi="Times New Roman" w:cs="Times New Roman"/>
          <w:sz w:val="28"/>
          <w:szCs w:val="28"/>
          <w:lang w:val="uk-UA"/>
        </w:rPr>
        <w:t xml:space="preserve">Слабкість і/або життєві обставини більшості населення заважають людям діяти за найкращими зразками антикорупційної поведінки. </w:t>
      </w:r>
    </w:p>
    <w:p w14:paraId="20951C4D" w14:textId="690E63E4" w:rsidR="005135FC" w:rsidRPr="00F30C53" w:rsidRDefault="005135FC" w:rsidP="00EA4B53">
      <w:pPr>
        <w:spacing w:after="0" w:line="360" w:lineRule="auto"/>
        <w:ind w:firstLine="567"/>
        <w:jc w:val="both"/>
        <w:rPr>
          <w:rFonts w:ascii="Times New Roman" w:hAnsi="Times New Roman" w:cs="Times New Roman"/>
          <w:sz w:val="28"/>
          <w:szCs w:val="28"/>
          <w:lang w:val="uk-UA"/>
        </w:rPr>
      </w:pPr>
      <w:r w:rsidRPr="00F30C53">
        <w:rPr>
          <w:rFonts w:ascii="Times New Roman" w:hAnsi="Times New Roman" w:cs="Times New Roman"/>
          <w:sz w:val="28"/>
          <w:szCs w:val="28"/>
          <w:lang w:val="uk-UA"/>
        </w:rPr>
        <w:t xml:space="preserve">Як наслідок зразкові антропні виміри антикорупційного законодавства втрачають свою силу, перетворюються на соціальні виміри культури та її колективні форми протидії корупції. Одночасно природа відношення до корупції змінюється, відповідно до усіх науково обґрунтованих висновків соціологів права і кримінологів. Зокрема, індивідуальне несприйняття корупції кожним окремим громадянином стає більш аморфним в умовах інерції суспільства у напрямку протидії корупції. У такому суспільстві громадянин, який протистоїть корупції, додатково витрачає зусилля на боротьбу з лояльним ставленням до корупції інших членів суспільства, соціальних прошарків/груп. При цьому ресурси такого громадянина не збільшуються, а суспільство, його корумпована частина органічно здатна збільшуватися за рахунок соціально нестійких громадян: невігласів (непоінформованих), конформістів, маргиналів та ін. Відкрите суспільство зорганізоване на перманентний соціальний прогрес у тому числі тому, що акумулює у собі антикорупційну антропну волю, якій чітко підпорядковуються, у т. ч. за рахунок використання методів стимулювання й заохочення, люди з потенційно корупційною та іншою </w:t>
      </w:r>
      <w:proofErr w:type="spellStart"/>
      <w:r w:rsidRPr="00F30C53">
        <w:rPr>
          <w:rFonts w:ascii="Times New Roman" w:hAnsi="Times New Roman" w:cs="Times New Roman"/>
          <w:sz w:val="28"/>
          <w:szCs w:val="28"/>
          <w:lang w:val="uk-UA"/>
        </w:rPr>
        <w:t>деконструктивною</w:t>
      </w:r>
      <w:proofErr w:type="spellEnd"/>
      <w:r w:rsidRPr="00F30C53">
        <w:rPr>
          <w:rFonts w:ascii="Times New Roman" w:hAnsi="Times New Roman" w:cs="Times New Roman"/>
          <w:sz w:val="28"/>
          <w:szCs w:val="28"/>
          <w:lang w:val="uk-UA"/>
        </w:rPr>
        <w:t xml:space="preserve"> поведінкою. Наприклад, заробітна плата членів та працівників апарату Національного агентства з питань запобігання корупції повинна … </w:t>
      </w:r>
      <w:r w:rsidRPr="00F30C53">
        <w:rPr>
          <w:rFonts w:ascii="Times New Roman" w:hAnsi="Times New Roman" w:cs="Times New Roman"/>
          <w:sz w:val="28"/>
          <w:szCs w:val="28"/>
          <w:lang w:val="uk-UA"/>
        </w:rPr>
        <w:lastRenderedPageBreak/>
        <w:t xml:space="preserve">стимулювати досягнення високих результатів у службовій діяльності … (за Законом України «Про запобігання корупції» 14.10.2014 р. № 1700-VII (далі – профільний закон) ч. 1 ст. 16). </w:t>
      </w:r>
    </w:p>
    <w:p w14:paraId="136B7F7B" w14:textId="77777777" w:rsidR="005135FC" w:rsidRPr="00F30C53" w:rsidRDefault="005135FC" w:rsidP="00EA4B53">
      <w:pPr>
        <w:spacing w:after="0" w:line="360" w:lineRule="auto"/>
        <w:ind w:firstLine="567"/>
        <w:jc w:val="both"/>
        <w:rPr>
          <w:rFonts w:ascii="Times New Roman" w:hAnsi="Times New Roman" w:cs="Times New Roman"/>
          <w:sz w:val="28"/>
          <w:szCs w:val="28"/>
          <w:lang w:val="uk-UA"/>
        </w:rPr>
      </w:pPr>
      <w:proofErr w:type="spellStart"/>
      <w:r w:rsidRPr="00F30C53">
        <w:rPr>
          <w:rFonts w:ascii="Times New Roman" w:hAnsi="Times New Roman" w:cs="Times New Roman"/>
          <w:sz w:val="28"/>
          <w:szCs w:val="28"/>
          <w:lang w:val="uk-UA"/>
        </w:rPr>
        <w:t>Таб</w:t>
      </w:r>
      <w:proofErr w:type="spellEnd"/>
      <w:r w:rsidRPr="00F30C53">
        <w:rPr>
          <w:rFonts w:ascii="Times New Roman" w:hAnsi="Times New Roman" w:cs="Times New Roman"/>
          <w:sz w:val="28"/>
          <w:szCs w:val="28"/>
          <w:lang w:val="uk-UA"/>
        </w:rPr>
        <w:t>. 1. Результати соціологічних досліджень поєднаних в межах соціальних спільнот антикорупційних антропних енергій українських громадян. </w:t>
      </w:r>
    </w:p>
    <w:tbl>
      <w:tblPr>
        <w:tblStyle w:val="a7"/>
        <w:tblW w:w="0" w:type="auto"/>
        <w:tblInd w:w="250" w:type="dxa"/>
        <w:tblLook w:val="04A0" w:firstRow="1" w:lastRow="0" w:firstColumn="1" w:lastColumn="0" w:noHBand="0" w:noVBand="1"/>
      </w:tblPr>
      <w:tblGrid>
        <w:gridCol w:w="498"/>
        <w:gridCol w:w="2376"/>
        <w:gridCol w:w="3583"/>
        <w:gridCol w:w="2638"/>
      </w:tblGrid>
      <w:tr w:rsidR="005135FC" w:rsidRPr="00F30C53" w14:paraId="7F0A0137" w14:textId="77777777" w:rsidTr="00882627">
        <w:tc>
          <w:tcPr>
            <w:tcW w:w="425" w:type="dxa"/>
            <w:vMerge w:val="restart"/>
          </w:tcPr>
          <w:p w14:paraId="1E064C6E" w14:textId="77777777" w:rsidR="005135FC" w:rsidRPr="00F30C53" w:rsidRDefault="005135FC" w:rsidP="00EA4B53">
            <w:pPr>
              <w:spacing w:line="360" w:lineRule="auto"/>
              <w:jc w:val="both"/>
              <w:rPr>
                <w:rFonts w:ascii="Times New Roman" w:hAnsi="Times New Roman" w:cs="Times New Roman"/>
                <w:b/>
                <w:sz w:val="28"/>
                <w:szCs w:val="28"/>
              </w:rPr>
            </w:pPr>
            <w:r w:rsidRPr="00F30C53">
              <w:rPr>
                <w:rFonts w:ascii="Times New Roman" w:hAnsi="Times New Roman" w:cs="Times New Roman"/>
                <w:b/>
                <w:sz w:val="28"/>
                <w:szCs w:val="28"/>
              </w:rPr>
              <w:t>№</w:t>
            </w:r>
          </w:p>
        </w:tc>
        <w:tc>
          <w:tcPr>
            <w:tcW w:w="2410" w:type="dxa"/>
            <w:vMerge w:val="restart"/>
          </w:tcPr>
          <w:p w14:paraId="72AEDB05" w14:textId="77777777" w:rsidR="005135FC" w:rsidRPr="00F30C53" w:rsidRDefault="005135FC" w:rsidP="00EA4B53">
            <w:pPr>
              <w:spacing w:line="360" w:lineRule="auto"/>
              <w:jc w:val="both"/>
              <w:rPr>
                <w:rFonts w:ascii="Times New Roman" w:hAnsi="Times New Roman" w:cs="Times New Roman"/>
                <w:b/>
                <w:sz w:val="28"/>
                <w:szCs w:val="28"/>
              </w:rPr>
            </w:pPr>
            <w:r w:rsidRPr="00F30C53">
              <w:rPr>
                <w:rFonts w:ascii="Times New Roman" w:hAnsi="Times New Roman" w:cs="Times New Roman"/>
                <w:b/>
                <w:sz w:val="28"/>
                <w:szCs w:val="28"/>
              </w:rPr>
              <w:t>Рік проведення анкетування і кількість опитаних громадян</w:t>
            </w:r>
          </w:p>
        </w:tc>
        <w:tc>
          <w:tcPr>
            <w:tcW w:w="6379" w:type="dxa"/>
            <w:gridSpan w:val="2"/>
          </w:tcPr>
          <w:p w14:paraId="39153E76" w14:textId="77777777" w:rsidR="005135FC" w:rsidRPr="00F30C53" w:rsidRDefault="005135FC" w:rsidP="00EA4B53">
            <w:pPr>
              <w:spacing w:line="360" w:lineRule="auto"/>
              <w:jc w:val="center"/>
              <w:rPr>
                <w:rFonts w:ascii="Times New Roman" w:hAnsi="Times New Roman" w:cs="Times New Roman"/>
                <w:b/>
                <w:sz w:val="28"/>
                <w:szCs w:val="28"/>
              </w:rPr>
            </w:pPr>
            <w:r w:rsidRPr="00F30C53">
              <w:rPr>
                <w:rFonts w:ascii="Times New Roman" w:hAnsi="Times New Roman" w:cs="Times New Roman"/>
                <w:b/>
                <w:sz w:val="28"/>
                <w:szCs w:val="28"/>
              </w:rPr>
              <w:t>Отримані відповіді</w:t>
            </w:r>
          </w:p>
        </w:tc>
      </w:tr>
      <w:tr w:rsidR="005135FC" w:rsidRPr="00F30C53" w14:paraId="6F35D3A2" w14:textId="77777777" w:rsidTr="00882627">
        <w:tc>
          <w:tcPr>
            <w:tcW w:w="425" w:type="dxa"/>
            <w:vMerge/>
          </w:tcPr>
          <w:p w14:paraId="3DDD9EB4" w14:textId="77777777" w:rsidR="005135FC" w:rsidRPr="00F30C53" w:rsidRDefault="005135FC" w:rsidP="00EA4B53">
            <w:pPr>
              <w:spacing w:line="360" w:lineRule="auto"/>
              <w:jc w:val="both"/>
              <w:rPr>
                <w:rFonts w:ascii="Times New Roman" w:hAnsi="Times New Roman" w:cs="Times New Roman"/>
                <w:b/>
                <w:sz w:val="28"/>
                <w:szCs w:val="28"/>
              </w:rPr>
            </w:pPr>
          </w:p>
        </w:tc>
        <w:tc>
          <w:tcPr>
            <w:tcW w:w="2410" w:type="dxa"/>
            <w:vMerge/>
          </w:tcPr>
          <w:p w14:paraId="7A1E45D0" w14:textId="77777777" w:rsidR="005135FC" w:rsidRPr="00F30C53" w:rsidRDefault="005135FC" w:rsidP="00EA4B53">
            <w:pPr>
              <w:spacing w:line="360" w:lineRule="auto"/>
              <w:jc w:val="both"/>
              <w:rPr>
                <w:rFonts w:ascii="Times New Roman" w:hAnsi="Times New Roman" w:cs="Times New Roman"/>
                <w:b/>
                <w:sz w:val="28"/>
                <w:szCs w:val="28"/>
              </w:rPr>
            </w:pPr>
          </w:p>
        </w:tc>
        <w:tc>
          <w:tcPr>
            <w:tcW w:w="3686" w:type="dxa"/>
          </w:tcPr>
          <w:p w14:paraId="76694860" w14:textId="77777777" w:rsidR="005135FC" w:rsidRPr="00F30C53" w:rsidRDefault="005135FC" w:rsidP="00EA4B53">
            <w:pPr>
              <w:spacing w:line="360" w:lineRule="auto"/>
              <w:jc w:val="both"/>
              <w:rPr>
                <w:rFonts w:ascii="Times New Roman" w:hAnsi="Times New Roman" w:cs="Times New Roman"/>
                <w:b/>
                <w:sz w:val="28"/>
                <w:szCs w:val="28"/>
              </w:rPr>
            </w:pPr>
            <w:r w:rsidRPr="00F30C53">
              <w:rPr>
                <w:rFonts w:ascii="Times New Roman" w:hAnsi="Times New Roman" w:cs="Times New Roman"/>
                <w:sz w:val="28"/>
                <w:szCs w:val="28"/>
              </w:rPr>
              <w:t>Вітчизняне процесуальне законодавство скоріше (або зовсім) не сприяє громадянам у реалізації та захисті їх прав і свобод, кількість відповідей у відсотках (%) від загальної кількості опитаних</w:t>
            </w:r>
          </w:p>
        </w:tc>
        <w:tc>
          <w:tcPr>
            <w:tcW w:w="2693" w:type="dxa"/>
          </w:tcPr>
          <w:p w14:paraId="400A88FB" w14:textId="77777777" w:rsidR="005135FC" w:rsidRPr="00F30C53" w:rsidRDefault="005135FC" w:rsidP="00EA4B53">
            <w:pPr>
              <w:spacing w:line="360" w:lineRule="auto"/>
              <w:jc w:val="both"/>
              <w:rPr>
                <w:rFonts w:ascii="Times New Roman" w:hAnsi="Times New Roman" w:cs="Times New Roman"/>
                <w:b/>
                <w:sz w:val="28"/>
                <w:szCs w:val="28"/>
              </w:rPr>
            </w:pPr>
            <w:r w:rsidRPr="00F30C53">
              <w:rPr>
                <w:rFonts w:ascii="Times New Roman" w:hAnsi="Times New Roman" w:cs="Times New Roman"/>
                <w:sz w:val="28"/>
                <w:szCs w:val="28"/>
              </w:rPr>
              <w:t>Громадяни домагаються належної реалізації та захисту прав і свобод за рахунок корупції, кількість відповідей у відсотках (%) від загальної кількості опитаних</w:t>
            </w:r>
          </w:p>
        </w:tc>
      </w:tr>
      <w:tr w:rsidR="005135FC" w:rsidRPr="00F30C53" w14:paraId="764205F2" w14:textId="77777777" w:rsidTr="00882627">
        <w:tc>
          <w:tcPr>
            <w:tcW w:w="425" w:type="dxa"/>
          </w:tcPr>
          <w:p w14:paraId="7F04CE81" w14:textId="77777777" w:rsidR="005135FC" w:rsidRPr="00F30C53" w:rsidRDefault="005135FC" w:rsidP="00EA4B53">
            <w:pPr>
              <w:spacing w:line="360" w:lineRule="auto"/>
              <w:jc w:val="both"/>
              <w:rPr>
                <w:rFonts w:ascii="Times New Roman" w:hAnsi="Times New Roman" w:cs="Times New Roman"/>
                <w:sz w:val="28"/>
                <w:szCs w:val="28"/>
              </w:rPr>
            </w:pPr>
            <w:r w:rsidRPr="00F30C53">
              <w:rPr>
                <w:rFonts w:ascii="Times New Roman" w:hAnsi="Times New Roman" w:cs="Times New Roman"/>
                <w:sz w:val="28"/>
                <w:szCs w:val="28"/>
              </w:rPr>
              <w:t>1</w:t>
            </w:r>
          </w:p>
        </w:tc>
        <w:tc>
          <w:tcPr>
            <w:tcW w:w="2410" w:type="dxa"/>
          </w:tcPr>
          <w:p w14:paraId="7673375A" w14:textId="77777777" w:rsidR="005135FC" w:rsidRPr="00F30C53" w:rsidRDefault="005135FC" w:rsidP="00EA4B53">
            <w:pPr>
              <w:spacing w:line="360" w:lineRule="auto"/>
              <w:jc w:val="both"/>
              <w:rPr>
                <w:rFonts w:ascii="Times New Roman" w:hAnsi="Times New Roman" w:cs="Times New Roman"/>
                <w:sz w:val="28"/>
                <w:szCs w:val="28"/>
              </w:rPr>
            </w:pPr>
            <w:r w:rsidRPr="00F30C53">
              <w:rPr>
                <w:rFonts w:ascii="Times New Roman" w:hAnsi="Times New Roman" w:cs="Times New Roman"/>
                <w:sz w:val="28"/>
                <w:szCs w:val="28"/>
              </w:rPr>
              <w:t>2017 (60 експертів)</w:t>
            </w:r>
          </w:p>
        </w:tc>
        <w:tc>
          <w:tcPr>
            <w:tcW w:w="3686" w:type="dxa"/>
          </w:tcPr>
          <w:p w14:paraId="3D1F67B7" w14:textId="77777777" w:rsidR="005135FC" w:rsidRPr="00F30C53" w:rsidRDefault="005135FC" w:rsidP="00EA4B53">
            <w:pPr>
              <w:spacing w:line="360" w:lineRule="auto"/>
              <w:jc w:val="both"/>
              <w:rPr>
                <w:rFonts w:ascii="Times New Roman" w:hAnsi="Times New Roman" w:cs="Times New Roman"/>
                <w:b/>
                <w:sz w:val="28"/>
                <w:szCs w:val="28"/>
              </w:rPr>
            </w:pPr>
            <w:r w:rsidRPr="00F30C53">
              <w:rPr>
                <w:rFonts w:ascii="Times New Roman" w:hAnsi="Times New Roman" w:cs="Times New Roman"/>
                <w:sz w:val="28"/>
                <w:szCs w:val="28"/>
              </w:rPr>
              <w:t>73,59%</w:t>
            </w:r>
          </w:p>
        </w:tc>
        <w:tc>
          <w:tcPr>
            <w:tcW w:w="2693" w:type="dxa"/>
          </w:tcPr>
          <w:p w14:paraId="78DAA03C" w14:textId="77777777" w:rsidR="005135FC" w:rsidRPr="00F30C53" w:rsidRDefault="005135FC" w:rsidP="00EA4B53">
            <w:pPr>
              <w:spacing w:line="360" w:lineRule="auto"/>
              <w:jc w:val="both"/>
              <w:rPr>
                <w:rFonts w:ascii="Times New Roman" w:hAnsi="Times New Roman" w:cs="Times New Roman"/>
                <w:b/>
                <w:sz w:val="28"/>
                <w:szCs w:val="28"/>
              </w:rPr>
            </w:pPr>
            <w:r w:rsidRPr="00F30C53">
              <w:rPr>
                <w:rFonts w:ascii="Times New Roman" w:hAnsi="Times New Roman" w:cs="Times New Roman"/>
                <w:sz w:val="28"/>
                <w:szCs w:val="28"/>
              </w:rPr>
              <w:t>92,45%</w:t>
            </w:r>
          </w:p>
        </w:tc>
      </w:tr>
      <w:tr w:rsidR="005135FC" w:rsidRPr="00F30C53" w14:paraId="12EDD4FB" w14:textId="77777777" w:rsidTr="00882627">
        <w:tc>
          <w:tcPr>
            <w:tcW w:w="425" w:type="dxa"/>
          </w:tcPr>
          <w:p w14:paraId="5DEB0155" w14:textId="77777777" w:rsidR="005135FC" w:rsidRPr="00F30C53" w:rsidRDefault="005135FC" w:rsidP="00EA4B53">
            <w:pPr>
              <w:spacing w:line="360" w:lineRule="auto"/>
              <w:jc w:val="both"/>
              <w:rPr>
                <w:rFonts w:ascii="Times New Roman" w:hAnsi="Times New Roman" w:cs="Times New Roman"/>
                <w:sz w:val="28"/>
                <w:szCs w:val="28"/>
              </w:rPr>
            </w:pPr>
            <w:r w:rsidRPr="00F30C53">
              <w:rPr>
                <w:rFonts w:ascii="Times New Roman" w:hAnsi="Times New Roman" w:cs="Times New Roman"/>
                <w:sz w:val="28"/>
                <w:szCs w:val="28"/>
              </w:rPr>
              <w:t>2</w:t>
            </w:r>
          </w:p>
        </w:tc>
        <w:tc>
          <w:tcPr>
            <w:tcW w:w="2410" w:type="dxa"/>
          </w:tcPr>
          <w:p w14:paraId="1B9F13CA" w14:textId="77777777" w:rsidR="005135FC" w:rsidRPr="00F30C53" w:rsidRDefault="005135FC" w:rsidP="00EA4B53">
            <w:pPr>
              <w:spacing w:line="360" w:lineRule="auto"/>
              <w:jc w:val="both"/>
              <w:rPr>
                <w:rFonts w:ascii="Times New Roman" w:hAnsi="Times New Roman" w:cs="Times New Roman"/>
                <w:sz w:val="28"/>
                <w:szCs w:val="28"/>
              </w:rPr>
            </w:pPr>
            <w:r w:rsidRPr="00F30C53">
              <w:rPr>
                <w:rFonts w:ascii="Times New Roman" w:hAnsi="Times New Roman" w:cs="Times New Roman"/>
                <w:sz w:val="28"/>
                <w:szCs w:val="28"/>
              </w:rPr>
              <w:t>2016 (40 експертів і 120 пересічних громадян)</w:t>
            </w:r>
          </w:p>
        </w:tc>
        <w:tc>
          <w:tcPr>
            <w:tcW w:w="3686" w:type="dxa"/>
          </w:tcPr>
          <w:p w14:paraId="40C6F42A" w14:textId="77777777" w:rsidR="005135FC" w:rsidRPr="00F30C53" w:rsidRDefault="005135FC" w:rsidP="00EA4B53">
            <w:pPr>
              <w:spacing w:line="360" w:lineRule="auto"/>
              <w:jc w:val="both"/>
              <w:rPr>
                <w:rFonts w:ascii="Times New Roman" w:hAnsi="Times New Roman" w:cs="Times New Roman"/>
                <w:sz w:val="28"/>
                <w:szCs w:val="28"/>
              </w:rPr>
            </w:pPr>
            <w:r w:rsidRPr="00F30C53">
              <w:rPr>
                <w:rFonts w:ascii="Times New Roman" w:hAnsi="Times New Roman" w:cs="Times New Roman"/>
                <w:sz w:val="28"/>
                <w:szCs w:val="28"/>
              </w:rPr>
              <w:t>75% експертів, 27,5% пересічних громадян</w:t>
            </w:r>
          </w:p>
        </w:tc>
        <w:tc>
          <w:tcPr>
            <w:tcW w:w="2693" w:type="dxa"/>
          </w:tcPr>
          <w:p w14:paraId="2B91C98C" w14:textId="77777777" w:rsidR="005135FC" w:rsidRPr="00F30C53" w:rsidRDefault="005135FC" w:rsidP="00EA4B53">
            <w:pPr>
              <w:spacing w:line="360" w:lineRule="auto"/>
              <w:jc w:val="both"/>
              <w:rPr>
                <w:rFonts w:ascii="Times New Roman" w:hAnsi="Times New Roman" w:cs="Times New Roman"/>
                <w:sz w:val="28"/>
                <w:szCs w:val="28"/>
              </w:rPr>
            </w:pPr>
            <w:r w:rsidRPr="00F30C53">
              <w:rPr>
                <w:rFonts w:ascii="Times New Roman" w:hAnsi="Times New Roman" w:cs="Times New Roman"/>
                <w:sz w:val="28"/>
                <w:szCs w:val="28"/>
              </w:rPr>
              <w:t>80% експертів, 70% пересічних громадян</w:t>
            </w:r>
          </w:p>
        </w:tc>
      </w:tr>
      <w:tr w:rsidR="005135FC" w:rsidRPr="00F30C53" w14:paraId="28ED7C9E" w14:textId="77777777" w:rsidTr="00882627">
        <w:tc>
          <w:tcPr>
            <w:tcW w:w="425" w:type="dxa"/>
          </w:tcPr>
          <w:p w14:paraId="491061D9" w14:textId="77777777" w:rsidR="005135FC" w:rsidRPr="00F30C53" w:rsidRDefault="005135FC" w:rsidP="00EA4B53">
            <w:pPr>
              <w:spacing w:line="360" w:lineRule="auto"/>
              <w:jc w:val="both"/>
              <w:rPr>
                <w:rFonts w:ascii="Times New Roman" w:hAnsi="Times New Roman" w:cs="Times New Roman"/>
                <w:sz w:val="28"/>
                <w:szCs w:val="28"/>
              </w:rPr>
            </w:pPr>
            <w:r w:rsidRPr="00F30C53">
              <w:rPr>
                <w:rFonts w:ascii="Times New Roman" w:hAnsi="Times New Roman" w:cs="Times New Roman"/>
                <w:sz w:val="28"/>
                <w:szCs w:val="28"/>
              </w:rPr>
              <w:t>3</w:t>
            </w:r>
          </w:p>
        </w:tc>
        <w:tc>
          <w:tcPr>
            <w:tcW w:w="2410" w:type="dxa"/>
          </w:tcPr>
          <w:p w14:paraId="1486924F" w14:textId="77777777" w:rsidR="005135FC" w:rsidRPr="00F30C53" w:rsidRDefault="005135FC" w:rsidP="00EA4B53">
            <w:pPr>
              <w:spacing w:line="360" w:lineRule="auto"/>
              <w:jc w:val="both"/>
              <w:rPr>
                <w:rFonts w:ascii="Times New Roman" w:hAnsi="Times New Roman" w:cs="Times New Roman"/>
                <w:sz w:val="28"/>
                <w:szCs w:val="28"/>
              </w:rPr>
            </w:pPr>
            <w:r w:rsidRPr="00F30C53">
              <w:rPr>
                <w:rFonts w:ascii="Times New Roman" w:hAnsi="Times New Roman" w:cs="Times New Roman"/>
                <w:sz w:val="28"/>
                <w:szCs w:val="28"/>
              </w:rPr>
              <w:t>2012 (100 підприємців, експертів)</w:t>
            </w:r>
          </w:p>
        </w:tc>
        <w:tc>
          <w:tcPr>
            <w:tcW w:w="3686" w:type="dxa"/>
          </w:tcPr>
          <w:p w14:paraId="09A79753" w14:textId="77777777" w:rsidR="005135FC" w:rsidRPr="00F30C53" w:rsidRDefault="005135FC" w:rsidP="00EA4B53">
            <w:pPr>
              <w:spacing w:line="360" w:lineRule="auto"/>
              <w:jc w:val="both"/>
              <w:rPr>
                <w:rFonts w:ascii="Times New Roman" w:hAnsi="Times New Roman" w:cs="Times New Roman"/>
                <w:b/>
                <w:sz w:val="28"/>
                <w:szCs w:val="28"/>
              </w:rPr>
            </w:pPr>
            <w:r w:rsidRPr="00F30C53">
              <w:rPr>
                <w:rFonts w:ascii="Times New Roman" w:hAnsi="Times New Roman" w:cs="Times New Roman"/>
                <w:sz w:val="28"/>
                <w:szCs w:val="28"/>
              </w:rPr>
              <w:t>59,00 %</w:t>
            </w:r>
          </w:p>
        </w:tc>
        <w:tc>
          <w:tcPr>
            <w:tcW w:w="2693" w:type="dxa"/>
          </w:tcPr>
          <w:p w14:paraId="7D650E96" w14:textId="77777777" w:rsidR="005135FC" w:rsidRPr="00F30C53" w:rsidRDefault="005135FC" w:rsidP="00EA4B53">
            <w:pPr>
              <w:spacing w:line="360" w:lineRule="auto"/>
              <w:jc w:val="both"/>
              <w:rPr>
                <w:rFonts w:ascii="Times New Roman" w:hAnsi="Times New Roman" w:cs="Times New Roman"/>
                <w:b/>
                <w:sz w:val="28"/>
                <w:szCs w:val="28"/>
              </w:rPr>
            </w:pPr>
            <w:r w:rsidRPr="00F30C53">
              <w:rPr>
                <w:rFonts w:ascii="Times New Roman" w:hAnsi="Times New Roman" w:cs="Times New Roman"/>
                <w:sz w:val="28"/>
                <w:szCs w:val="28"/>
              </w:rPr>
              <w:t>76,00 %</w:t>
            </w:r>
          </w:p>
        </w:tc>
      </w:tr>
      <w:tr w:rsidR="005135FC" w:rsidRPr="00F30C53" w14:paraId="7E1C6E3C" w14:textId="77777777" w:rsidTr="00882627">
        <w:tc>
          <w:tcPr>
            <w:tcW w:w="425" w:type="dxa"/>
          </w:tcPr>
          <w:p w14:paraId="39D27112" w14:textId="77777777" w:rsidR="005135FC" w:rsidRPr="00F30C53" w:rsidRDefault="005135FC" w:rsidP="00EA4B53">
            <w:pPr>
              <w:spacing w:line="360" w:lineRule="auto"/>
              <w:jc w:val="both"/>
              <w:rPr>
                <w:rFonts w:ascii="Times New Roman" w:hAnsi="Times New Roman" w:cs="Times New Roman"/>
                <w:sz w:val="28"/>
                <w:szCs w:val="28"/>
              </w:rPr>
            </w:pPr>
            <w:r w:rsidRPr="00F30C53">
              <w:rPr>
                <w:rFonts w:ascii="Times New Roman" w:hAnsi="Times New Roman" w:cs="Times New Roman"/>
                <w:sz w:val="28"/>
                <w:szCs w:val="28"/>
              </w:rPr>
              <w:t>4</w:t>
            </w:r>
          </w:p>
        </w:tc>
        <w:tc>
          <w:tcPr>
            <w:tcW w:w="2410" w:type="dxa"/>
          </w:tcPr>
          <w:p w14:paraId="594897CE" w14:textId="77777777" w:rsidR="005135FC" w:rsidRPr="00F30C53" w:rsidRDefault="005135FC" w:rsidP="00EA4B53">
            <w:pPr>
              <w:spacing w:line="360" w:lineRule="auto"/>
              <w:jc w:val="both"/>
              <w:rPr>
                <w:rFonts w:ascii="Times New Roman" w:hAnsi="Times New Roman" w:cs="Times New Roman"/>
                <w:sz w:val="28"/>
                <w:szCs w:val="28"/>
              </w:rPr>
            </w:pPr>
            <w:r w:rsidRPr="00F30C53">
              <w:rPr>
                <w:rFonts w:ascii="Times New Roman" w:hAnsi="Times New Roman" w:cs="Times New Roman"/>
                <w:sz w:val="28"/>
                <w:szCs w:val="28"/>
              </w:rPr>
              <w:t>2010 (70 експертів)</w:t>
            </w:r>
          </w:p>
        </w:tc>
        <w:tc>
          <w:tcPr>
            <w:tcW w:w="3686" w:type="dxa"/>
          </w:tcPr>
          <w:p w14:paraId="50F492A0" w14:textId="77777777" w:rsidR="005135FC" w:rsidRPr="00F30C53" w:rsidRDefault="005135FC" w:rsidP="00EA4B53">
            <w:pPr>
              <w:spacing w:line="360" w:lineRule="auto"/>
              <w:jc w:val="both"/>
              <w:rPr>
                <w:rFonts w:ascii="Times New Roman" w:hAnsi="Times New Roman" w:cs="Times New Roman"/>
                <w:b/>
                <w:sz w:val="28"/>
                <w:szCs w:val="28"/>
              </w:rPr>
            </w:pPr>
            <w:r w:rsidRPr="00F30C53">
              <w:rPr>
                <w:rFonts w:ascii="Times New Roman" w:hAnsi="Times New Roman" w:cs="Times New Roman"/>
                <w:sz w:val="28"/>
                <w:szCs w:val="28"/>
              </w:rPr>
              <w:t>84,29 %</w:t>
            </w:r>
          </w:p>
        </w:tc>
        <w:tc>
          <w:tcPr>
            <w:tcW w:w="2693" w:type="dxa"/>
          </w:tcPr>
          <w:p w14:paraId="51A9E754" w14:textId="77777777" w:rsidR="005135FC" w:rsidRPr="00F30C53" w:rsidRDefault="005135FC" w:rsidP="00EA4B53">
            <w:pPr>
              <w:spacing w:line="360" w:lineRule="auto"/>
              <w:jc w:val="both"/>
              <w:rPr>
                <w:rFonts w:ascii="Times New Roman" w:hAnsi="Times New Roman" w:cs="Times New Roman"/>
                <w:b/>
                <w:sz w:val="28"/>
                <w:szCs w:val="28"/>
              </w:rPr>
            </w:pPr>
            <w:r w:rsidRPr="00F30C53">
              <w:rPr>
                <w:rFonts w:ascii="Times New Roman" w:hAnsi="Times New Roman" w:cs="Times New Roman"/>
                <w:sz w:val="28"/>
                <w:szCs w:val="28"/>
              </w:rPr>
              <w:t>65,71 %</w:t>
            </w:r>
          </w:p>
        </w:tc>
      </w:tr>
    </w:tbl>
    <w:p w14:paraId="23BDE324" w14:textId="205BF921" w:rsidR="005135FC" w:rsidRPr="00F30C53" w:rsidRDefault="005135FC" w:rsidP="00EA4B53">
      <w:pPr>
        <w:spacing w:after="0" w:line="360" w:lineRule="auto"/>
        <w:ind w:firstLine="567"/>
        <w:jc w:val="both"/>
        <w:rPr>
          <w:rFonts w:ascii="Times New Roman" w:hAnsi="Times New Roman" w:cs="Times New Roman"/>
          <w:sz w:val="28"/>
          <w:szCs w:val="28"/>
          <w:lang w:val="uk-UA"/>
        </w:rPr>
      </w:pPr>
      <w:r w:rsidRPr="00F30C53">
        <w:rPr>
          <w:rFonts w:ascii="Times New Roman" w:hAnsi="Times New Roman" w:cs="Times New Roman"/>
          <w:sz w:val="28"/>
          <w:szCs w:val="28"/>
          <w:lang w:val="uk-UA"/>
        </w:rPr>
        <w:t xml:space="preserve">Антропологічні засади громадянського суспільства виводять з буття громадянського соціуму й через нього. У глибинних сферах внутрішнього </w:t>
      </w:r>
      <w:r w:rsidRPr="00F30C53">
        <w:rPr>
          <w:rFonts w:ascii="Times New Roman" w:hAnsi="Times New Roman" w:cs="Times New Roman"/>
          <w:sz w:val="28"/>
          <w:szCs w:val="28"/>
          <w:lang w:val="uk-UA"/>
        </w:rPr>
        <w:lastRenderedPageBreak/>
        <w:t xml:space="preserve">індивідуального життя людини, його духовно-моральної, підсвідомо–ірраціональної, </w:t>
      </w:r>
      <w:proofErr w:type="spellStart"/>
      <w:r w:rsidRPr="00F30C53">
        <w:rPr>
          <w:rFonts w:ascii="Times New Roman" w:hAnsi="Times New Roman" w:cs="Times New Roman"/>
          <w:sz w:val="28"/>
          <w:szCs w:val="28"/>
          <w:lang w:val="uk-UA"/>
        </w:rPr>
        <w:t>ірраціонально</w:t>
      </w:r>
      <w:proofErr w:type="spellEnd"/>
      <w:r w:rsidRPr="00F30C53">
        <w:rPr>
          <w:rFonts w:ascii="Times New Roman" w:hAnsi="Times New Roman" w:cs="Times New Roman"/>
          <w:sz w:val="28"/>
          <w:szCs w:val="28"/>
          <w:lang w:val="uk-UA"/>
        </w:rPr>
        <w:t xml:space="preserve">-міфологічної, </w:t>
      </w:r>
      <w:proofErr w:type="spellStart"/>
      <w:r w:rsidRPr="00F30C53">
        <w:rPr>
          <w:rFonts w:ascii="Times New Roman" w:hAnsi="Times New Roman" w:cs="Times New Roman"/>
          <w:sz w:val="28"/>
          <w:szCs w:val="28"/>
          <w:lang w:val="uk-UA"/>
        </w:rPr>
        <w:t>антробіологічної</w:t>
      </w:r>
      <w:proofErr w:type="spellEnd"/>
      <w:r w:rsidRPr="00F30C53">
        <w:rPr>
          <w:rFonts w:ascii="Times New Roman" w:hAnsi="Times New Roman" w:cs="Times New Roman"/>
          <w:sz w:val="28"/>
          <w:szCs w:val="28"/>
          <w:lang w:val="uk-UA"/>
        </w:rPr>
        <w:t xml:space="preserve"> суб’єктивності містяться справжні основи людської свободи, що має креативне значення, репродукуючи людину як «соціальний атом», визначаючи форми індивідуального та соціального буття громадянського суспільства. Громадянське суспільство, що формується на антропологічних засадах, репрезентується в матрицях етнологічних, етнографічних, лінгвістичних, соціологічних, психологічних, психофізіологічних характеристиках, детермінованих ментальними особливостями тих чи інших країн, народів, континентів. </w:t>
      </w:r>
      <w:r w:rsidR="00994E6B" w:rsidRPr="00F30C53">
        <w:rPr>
          <w:rFonts w:ascii="Times New Roman" w:hAnsi="Times New Roman" w:cs="Times New Roman"/>
          <w:sz w:val="28"/>
          <w:szCs w:val="28"/>
          <w:lang w:val="uk-UA"/>
        </w:rPr>
        <w:t>В</w:t>
      </w:r>
      <w:r w:rsidRPr="00F30C53">
        <w:rPr>
          <w:rFonts w:ascii="Times New Roman" w:hAnsi="Times New Roman" w:cs="Times New Roman"/>
          <w:sz w:val="28"/>
          <w:szCs w:val="28"/>
          <w:lang w:val="uk-UA"/>
        </w:rPr>
        <w:t xml:space="preserve">иділив такі антропологічні принципи громадянського суспільства: 1) принцип антропологічної редукції – пояснення об’єктивних утворень через віднесеність їх до людини в активних проекціях екзистенції; 2) принцип </w:t>
      </w:r>
      <w:proofErr w:type="spellStart"/>
      <w:r w:rsidRPr="00F30C53">
        <w:rPr>
          <w:rFonts w:ascii="Times New Roman" w:hAnsi="Times New Roman" w:cs="Times New Roman"/>
          <w:sz w:val="28"/>
          <w:szCs w:val="28"/>
          <w:lang w:val="uk-UA"/>
        </w:rPr>
        <w:t>органону</w:t>
      </w:r>
      <w:proofErr w:type="spellEnd"/>
      <w:r w:rsidRPr="00F30C53">
        <w:rPr>
          <w:rFonts w:ascii="Times New Roman" w:hAnsi="Times New Roman" w:cs="Times New Roman"/>
          <w:sz w:val="28"/>
          <w:szCs w:val="28"/>
          <w:lang w:val="uk-UA"/>
        </w:rPr>
        <w:t xml:space="preserve"> – націлює на цілісне сприйняття сутності людини, що діє за умов розвитку громадянського суспільства, виходячи зі створених нею об’єктивних форм культури, процесів структурування </w:t>
      </w:r>
      <w:proofErr w:type="spellStart"/>
      <w:r w:rsidRPr="00F30C53">
        <w:rPr>
          <w:rFonts w:ascii="Times New Roman" w:hAnsi="Times New Roman" w:cs="Times New Roman"/>
          <w:sz w:val="28"/>
          <w:szCs w:val="28"/>
          <w:lang w:val="uk-UA"/>
        </w:rPr>
        <w:t>соціоінститутів</w:t>
      </w:r>
      <w:proofErr w:type="spellEnd"/>
      <w:r w:rsidRPr="00F30C53">
        <w:rPr>
          <w:rFonts w:ascii="Times New Roman" w:hAnsi="Times New Roman" w:cs="Times New Roman"/>
          <w:sz w:val="28"/>
          <w:szCs w:val="28"/>
          <w:lang w:val="uk-UA"/>
        </w:rPr>
        <w:t xml:space="preserve"> і </w:t>
      </w:r>
      <w:proofErr w:type="spellStart"/>
      <w:r w:rsidRPr="00F30C53">
        <w:rPr>
          <w:rFonts w:ascii="Times New Roman" w:hAnsi="Times New Roman" w:cs="Times New Roman"/>
          <w:sz w:val="28"/>
          <w:szCs w:val="28"/>
          <w:lang w:val="uk-UA"/>
        </w:rPr>
        <w:t>соціоустанов</w:t>
      </w:r>
      <w:proofErr w:type="spellEnd"/>
      <w:r w:rsidRPr="00F30C53">
        <w:rPr>
          <w:rFonts w:ascii="Times New Roman" w:hAnsi="Times New Roman" w:cs="Times New Roman"/>
          <w:sz w:val="28"/>
          <w:szCs w:val="28"/>
          <w:lang w:val="uk-UA"/>
        </w:rPr>
        <w:t xml:space="preserve">, що являють собою функціонально-еволюційну консолідацію; 3) принцип антропологічної інтерпретації окремих явищ людського життя – необхідний для аналізу </w:t>
      </w:r>
      <w:proofErr w:type="spellStart"/>
      <w:r w:rsidRPr="00F30C53">
        <w:rPr>
          <w:rFonts w:ascii="Times New Roman" w:hAnsi="Times New Roman" w:cs="Times New Roman"/>
          <w:sz w:val="28"/>
          <w:szCs w:val="28"/>
          <w:lang w:val="uk-UA"/>
        </w:rPr>
        <w:t>внутрішньокультурних</w:t>
      </w:r>
      <w:proofErr w:type="spellEnd"/>
      <w:r w:rsidRPr="00F30C53">
        <w:rPr>
          <w:rFonts w:ascii="Times New Roman" w:hAnsi="Times New Roman" w:cs="Times New Roman"/>
          <w:sz w:val="28"/>
          <w:szCs w:val="28"/>
          <w:lang w:val="uk-UA"/>
        </w:rPr>
        <w:t xml:space="preserve"> феноменів громадянського суспільства: людської істоти, різних проявів її тілесної, почуттєвої та душевно-духовної організації, при дослідженні соціуму в іманентно-структурному порядку. Припускаємо, що антикорупційне законодавство стає дієвим після належного відображення у ньому цих основоположних ідей </w:t>
      </w:r>
      <w:proofErr w:type="spellStart"/>
      <w:r w:rsidRPr="00F30C53">
        <w:rPr>
          <w:rFonts w:ascii="Times New Roman" w:hAnsi="Times New Roman" w:cs="Times New Roman"/>
          <w:sz w:val="28"/>
          <w:szCs w:val="28"/>
          <w:lang w:val="uk-UA"/>
        </w:rPr>
        <w:t>антроповимірної</w:t>
      </w:r>
      <w:proofErr w:type="spellEnd"/>
      <w:r w:rsidRPr="00F30C53">
        <w:rPr>
          <w:rFonts w:ascii="Times New Roman" w:hAnsi="Times New Roman" w:cs="Times New Roman"/>
          <w:sz w:val="28"/>
          <w:szCs w:val="28"/>
          <w:lang w:val="uk-UA"/>
        </w:rPr>
        <w:t xml:space="preserve"> організації життя суспільства.</w:t>
      </w:r>
    </w:p>
    <w:p w14:paraId="46BFB2EC" w14:textId="77777777" w:rsidR="005135FC" w:rsidRPr="00F30C53" w:rsidRDefault="005135FC" w:rsidP="00EA4B53">
      <w:pPr>
        <w:spacing w:after="0" w:line="360" w:lineRule="auto"/>
        <w:ind w:firstLine="567"/>
        <w:jc w:val="both"/>
        <w:rPr>
          <w:rFonts w:ascii="Times New Roman" w:hAnsi="Times New Roman" w:cs="Times New Roman"/>
          <w:sz w:val="28"/>
          <w:szCs w:val="28"/>
          <w:lang w:val="uk-UA"/>
        </w:rPr>
      </w:pPr>
      <w:r w:rsidRPr="00F30C53">
        <w:rPr>
          <w:rFonts w:ascii="Times New Roman" w:hAnsi="Times New Roman" w:cs="Times New Roman"/>
          <w:sz w:val="28"/>
          <w:szCs w:val="28"/>
          <w:lang w:val="uk-UA"/>
        </w:rPr>
        <w:t xml:space="preserve">В окреслених відношеннях роль законодавця стає ключовою, адже від того наскільки вміло і вірно йому вдасться виписати зрозумілою мовою антикорупційні правила на рівні законів безпосередньо залежить подальша якість правотворчої діяльності органів виконавчої влади та їхнє спільне з судами правозастосування. Нині залишається актуальною визначена ще М. Цицероном норма-ціль: </w:t>
      </w:r>
      <w:proofErr w:type="spellStart"/>
      <w:r w:rsidRPr="00F30C53">
        <w:rPr>
          <w:rFonts w:ascii="Times New Roman" w:hAnsi="Times New Roman" w:cs="Times New Roman"/>
          <w:sz w:val="28"/>
          <w:szCs w:val="28"/>
          <w:lang w:val="uk-UA"/>
        </w:rPr>
        <w:t>Legem</w:t>
      </w:r>
      <w:proofErr w:type="spellEnd"/>
      <w:r w:rsidRPr="00F30C53">
        <w:rPr>
          <w:rFonts w:ascii="Times New Roman" w:hAnsi="Times New Roman" w:cs="Times New Roman"/>
          <w:sz w:val="28"/>
          <w:szCs w:val="28"/>
          <w:lang w:val="uk-UA"/>
        </w:rPr>
        <w:t xml:space="preserve"> </w:t>
      </w:r>
      <w:proofErr w:type="spellStart"/>
      <w:r w:rsidRPr="00F30C53">
        <w:rPr>
          <w:rFonts w:ascii="Times New Roman" w:hAnsi="Times New Roman" w:cs="Times New Roman"/>
          <w:sz w:val="28"/>
          <w:szCs w:val="28"/>
          <w:lang w:val="uk-UA"/>
        </w:rPr>
        <w:t>brevem</w:t>
      </w:r>
      <w:proofErr w:type="spellEnd"/>
      <w:r w:rsidRPr="00F30C53">
        <w:rPr>
          <w:rFonts w:ascii="Times New Roman" w:hAnsi="Times New Roman" w:cs="Times New Roman"/>
          <w:sz w:val="28"/>
          <w:szCs w:val="28"/>
          <w:lang w:val="uk-UA"/>
        </w:rPr>
        <w:t xml:space="preserve"> </w:t>
      </w:r>
      <w:proofErr w:type="spellStart"/>
      <w:r w:rsidRPr="00F30C53">
        <w:rPr>
          <w:rFonts w:ascii="Times New Roman" w:hAnsi="Times New Roman" w:cs="Times New Roman"/>
          <w:sz w:val="28"/>
          <w:szCs w:val="28"/>
          <w:lang w:val="uk-UA"/>
        </w:rPr>
        <w:t>esse</w:t>
      </w:r>
      <w:proofErr w:type="spellEnd"/>
      <w:r w:rsidRPr="00F30C53">
        <w:rPr>
          <w:rFonts w:ascii="Times New Roman" w:hAnsi="Times New Roman" w:cs="Times New Roman"/>
          <w:sz w:val="28"/>
          <w:szCs w:val="28"/>
          <w:lang w:val="uk-UA"/>
        </w:rPr>
        <w:t xml:space="preserve"> </w:t>
      </w:r>
      <w:proofErr w:type="spellStart"/>
      <w:r w:rsidRPr="00F30C53">
        <w:rPr>
          <w:rFonts w:ascii="Times New Roman" w:hAnsi="Times New Roman" w:cs="Times New Roman"/>
          <w:sz w:val="28"/>
          <w:szCs w:val="28"/>
          <w:lang w:val="uk-UA"/>
        </w:rPr>
        <w:t>oportet</w:t>
      </w:r>
      <w:proofErr w:type="spellEnd"/>
      <w:r w:rsidRPr="00F30C53">
        <w:rPr>
          <w:rFonts w:ascii="Times New Roman" w:hAnsi="Times New Roman" w:cs="Times New Roman"/>
          <w:sz w:val="28"/>
          <w:szCs w:val="28"/>
          <w:lang w:val="uk-UA"/>
        </w:rPr>
        <w:t xml:space="preserve"> (закон повинен бути коротким). Європейський суд з прав людини у низці свої рішень вказує на </w:t>
      </w:r>
      <w:r w:rsidRPr="00F30C53">
        <w:rPr>
          <w:rFonts w:ascii="Times New Roman" w:hAnsi="Times New Roman" w:cs="Times New Roman"/>
          <w:sz w:val="28"/>
          <w:szCs w:val="28"/>
          <w:lang w:val="uk-UA"/>
        </w:rPr>
        <w:lastRenderedPageBreak/>
        <w:t>неприйнятну множинність трактувань положень законів України. Зокрема, рішенням від 14.10.2010 р. у справі «</w:t>
      </w:r>
      <w:proofErr w:type="spellStart"/>
      <w:r w:rsidRPr="00F30C53">
        <w:rPr>
          <w:rFonts w:ascii="Times New Roman" w:hAnsi="Times New Roman" w:cs="Times New Roman"/>
          <w:sz w:val="28"/>
          <w:szCs w:val="28"/>
          <w:lang w:val="uk-UA"/>
        </w:rPr>
        <w:t>Щокін</w:t>
      </w:r>
      <w:proofErr w:type="spellEnd"/>
      <w:r w:rsidRPr="00F30C53">
        <w:rPr>
          <w:rFonts w:ascii="Times New Roman" w:hAnsi="Times New Roman" w:cs="Times New Roman"/>
          <w:sz w:val="28"/>
          <w:szCs w:val="28"/>
          <w:lang w:val="uk-UA"/>
        </w:rPr>
        <w:t xml:space="preserve"> проти України» визначено концепцію якості закону: закон повинен бути доступним для заінтересованих осіб, чітким та передбачуваним у своєму застосуванні. Відсутність у національному законодавстві необхідної чіткості і точності порушує вимогу «якості закону». В разі коли національне законодавство припустило неоднозначне або множинне тлумачення прав та обов’язків осіб, національні органи зобов’язані застосувати найбільш сприятливий для осіб підхід. Вирішення колізій у законодавстві завжди тлумачиться на користь особи.</w:t>
      </w:r>
    </w:p>
    <w:p w14:paraId="433FCF37" w14:textId="77777777" w:rsidR="005135FC" w:rsidRPr="00F30C53" w:rsidRDefault="005135FC" w:rsidP="00EA4B53">
      <w:pPr>
        <w:spacing w:after="0" w:line="360" w:lineRule="auto"/>
        <w:ind w:firstLine="567"/>
        <w:jc w:val="both"/>
        <w:rPr>
          <w:rFonts w:ascii="Times New Roman" w:hAnsi="Times New Roman" w:cs="Times New Roman"/>
          <w:sz w:val="28"/>
          <w:szCs w:val="28"/>
          <w:lang w:val="uk-UA"/>
        </w:rPr>
      </w:pPr>
      <w:r w:rsidRPr="00F30C53">
        <w:rPr>
          <w:rFonts w:ascii="Times New Roman" w:hAnsi="Times New Roman" w:cs="Times New Roman"/>
          <w:sz w:val="28"/>
          <w:szCs w:val="28"/>
          <w:lang w:val="uk-UA"/>
        </w:rPr>
        <w:t xml:space="preserve">Просте, лаконічне і зрозуміле законодавство полегшує його застосування і скорочує потребу у великому </w:t>
      </w:r>
      <w:proofErr w:type="spellStart"/>
      <w:r w:rsidRPr="00F30C53">
        <w:rPr>
          <w:rFonts w:ascii="Times New Roman" w:hAnsi="Times New Roman" w:cs="Times New Roman"/>
          <w:sz w:val="28"/>
          <w:szCs w:val="28"/>
          <w:lang w:val="uk-UA"/>
        </w:rPr>
        <w:t>апараті</w:t>
      </w:r>
      <w:proofErr w:type="spellEnd"/>
      <w:r w:rsidRPr="00F30C53">
        <w:rPr>
          <w:rFonts w:ascii="Times New Roman" w:hAnsi="Times New Roman" w:cs="Times New Roman"/>
          <w:sz w:val="28"/>
          <w:szCs w:val="28"/>
          <w:lang w:val="uk-UA"/>
        </w:rPr>
        <w:t xml:space="preserve"> чиновників. Спробою законодавця використовувати оціночні поняття у законах проблема вичерпується тільки частково, зокрема для оперативного заповнення прогалин у праві за відсутності можливості створити формалізований текст або коли моральних оціночних термінів важко уникнути, і у короткостроковій перспективі. Наприклад, «розумні строки розгляду справи судом» (п. 7 ч. 1 ст. 129 Конституції України); «бездоганна репутація, високі професійні та моральні якості, суспільний авторитет», «рівень професійної компетентності, особисті якості» (вимоги до членів поліцейської комісії, п. 3 ч. 2 ст. 51; вимоги до поліцейських ч. 2 ст. 52, ч. 1 ст. 57 Закон України «Про Національну поліцію» від 02.07.2015 № 580-VIII відповідно). Ці норми стають </w:t>
      </w:r>
      <w:proofErr w:type="spellStart"/>
      <w:r w:rsidRPr="00F30C53">
        <w:rPr>
          <w:rFonts w:ascii="Times New Roman" w:hAnsi="Times New Roman" w:cs="Times New Roman"/>
          <w:sz w:val="28"/>
          <w:szCs w:val="28"/>
          <w:lang w:val="uk-UA"/>
        </w:rPr>
        <w:t>бланкетними</w:t>
      </w:r>
      <w:proofErr w:type="spellEnd"/>
      <w:r w:rsidRPr="00F30C53">
        <w:rPr>
          <w:rFonts w:ascii="Times New Roman" w:hAnsi="Times New Roman" w:cs="Times New Roman"/>
          <w:sz w:val="28"/>
          <w:szCs w:val="28"/>
          <w:lang w:val="uk-UA"/>
        </w:rPr>
        <w:t xml:space="preserve"> положеннями антикорупційного законодавства, у разі, коли їхнє порушення відбулося внаслідок корупційних дій, а їхнє однозначне застосування </w:t>
      </w:r>
      <w:proofErr w:type="spellStart"/>
      <w:r w:rsidRPr="00F30C53">
        <w:rPr>
          <w:rFonts w:ascii="Times New Roman" w:hAnsi="Times New Roman" w:cs="Times New Roman"/>
          <w:sz w:val="28"/>
          <w:szCs w:val="28"/>
          <w:lang w:val="uk-UA"/>
        </w:rPr>
        <w:t>ускладнюється</w:t>
      </w:r>
      <w:proofErr w:type="spellEnd"/>
      <w:r w:rsidRPr="00F30C53">
        <w:rPr>
          <w:rFonts w:ascii="Times New Roman" w:hAnsi="Times New Roman" w:cs="Times New Roman"/>
          <w:sz w:val="28"/>
          <w:szCs w:val="28"/>
          <w:lang w:val="uk-UA"/>
        </w:rPr>
        <w:t xml:space="preserve"> у силу наявності оціночних формулювань. Утім аналогічна проблема – </w:t>
      </w:r>
      <w:proofErr w:type="spellStart"/>
      <w:r w:rsidRPr="00F30C53">
        <w:rPr>
          <w:rFonts w:ascii="Times New Roman" w:hAnsi="Times New Roman" w:cs="Times New Roman"/>
          <w:sz w:val="28"/>
          <w:szCs w:val="28"/>
          <w:lang w:val="uk-UA"/>
        </w:rPr>
        <w:t>оціночності</w:t>
      </w:r>
      <w:proofErr w:type="spellEnd"/>
      <w:r w:rsidRPr="00F30C53">
        <w:rPr>
          <w:rFonts w:ascii="Times New Roman" w:hAnsi="Times New Roman" w:cs="Times New Roman"/>
          <w:sz w:val="28"/>
          <w:szCs w:val="28"/>
          <w:lang w:val="uk-UA"/>
        </w:rPr>
        <w:t xml:space="preserve"> антикорупційних положень законів – характерна також для профільного закону: 1) термін «загальновизнане уявлення про гостинність» при визначенні можливості прийняття подарунку (</w:t>
      </w:r>
      <w:proofErr w:type="spellStart"/>
      <w:r w:rsidRPr="00F30C53">
        <w:rPr>
          <w:rFonts w:ascii="Times New Roman" w:hAnsi="Times New Roman" w:cs="Times New Roman"/>
          <w:sz w:val="28"/>
          <w:szCs w:val="28"/>
          <w:lang w:val="uk-UA"/>
        </w:rPr>
        <w:t>аб</w:t>
      </w:r>
      <w:proofErr w:type="spellEnd"/>
      <w:r w:rsidRPr="00F30C53">
        <w:rPr>
          <w:rFonts w:ascii="Times New Roman" w:hAnsi="Times New Roman" w:cs="Times New Roman"/>
          <w:sz w:val="28"/>
          <w:szCs w:val="28"/>
          <w:lang w:val="uk-UA"/>
        </w:rPr>
        <w:t>. 1 ч. 2 ст. 23); 2) терміни «спільний побут» і «сімейний характер» щодо взаємних прав та обов’язків із суб’єктом декларування при визначенні поняття «близькі особи» (</w:t>
      </w:r>
      <w:proofErr w:type="spellStart"/>
      <w:r w:rsidRPr="00F30C53">
        <w:rPr>
          <w:rFonts w:ascii="Times New Roman" w:hAnsi="Times New Roman" w:cs="Times New Roman"/>
          <w:sz w:val="28"/>
          <w:szCs w:val="28"/>
          <w:lang w:val="uk-UA"/>
        </w:rPr>
        <w:t>аб</w:t>
      </w:r>
      <w:proofErr w:type="spellEnd"/>
      <w:r w:rsidRPr="00F30C53">
        <w:rPr>
          <w:rFonts w:ascii="Times New Roman" w:hAnsi="Times New Roman" w:cs="Times New Roman"/>
          <w:sz w:val="28"/>
          <w:szCs w:val="28"/>
          <w:lang w:val="uk-UA"/>
        </w:rPr>
        <w:t xml:space="preserve">. 4 ч. 1 ст. 1); 3) низка термінів правил етичної поведінки </w:t>
      </w:r>
      <w:r w:rsidRPr="00F30C53">
        <w:rPr>
          <w:rFonts w:ascii="Times New Roman" w:hAnsi="Times New Roman" w:cs="Times New Roman"/>
          <w:sz w:val="28"/>
          <w:szCs w:val="28"/>
          <w:lang w:val="uk-UA"/>
        </w:rPr>
        <w:lastRenderedPageBreak/>
        <w:t xml:space="preserve">(статті 37-44), у т. ч. деталізовані у Загальних правилах етичної поведінки державних службовців та посадових осіб місцевого самоврядування, </w:t>
      </w:r>
      <w:proofErr w:type="spellStart"/>
      <w:r w:rsidRPr="00F30C53">
        <w:rPr>
          <w:rFonts w:ascii="Times New Roman" w:hAnsi="Times New Roman" w:cs="Times New Roman"/>
          <w:sz w:val="28"/>
          <w:szCs w:val="28"/>
          <w:lang w:val="uk-UA"/>
        </w:rPr>
        <w:t>затв</w:t>
      </w:r>
      <w:proofErr w:type="spellEnd"/>
      <w:r w:rsidRPr="00F30C53">
        <w:rPr>
          <w:rFonts w:ascii="Times New Roman" w:hAnsi="Times New Roman" w:cs="Times New Roman"/>
          <w:sz w:val="28"/>
          <w:szCs w:val="28"/>
          <w:lang w:val="uk-UA"/>
        </w:rPr>
        <w:t>. наказом Національного агентства України з питань державної служби 05.08.2016 № 158; 4) термін «надмірне» при визначенні втручання у право на недоторканність особистого і сімейного життя особи під час моніторингу способу життя суб’єктів декларування (</w:t>
      </w:r>
      <w:proofErr w:type="spellStart"/>
      <w:r w:rsidRPr="00F30C53">
        <w:rPr>
          <w:rFonts w:ascii="Times New Roman" w:hAnsi="Times New Roman" w:cs="Times New Roman"/>
          <w:sz w:val="28"/>
          <w:szCs w:val="28"/>
          <w:lang w:val="uk-UA"/>
        </w:rPr>
        <w:t>аб</w:t>
      </w:r>
      <w:proofErr w:type="spellEnd"/>
      <w:r w:rsidRPr="00F30C53">
        <w:rPr>
          <w:rFonts w:ascii="Times New Roman" w:hAnsi="Times New Roman" w:cs="Times New Roman"/>
          <w:sz w:val="28"/>
          <w:szCs w:val="28"/>
          <w:lang w:val="uk-UA"/>
        </w:rPr>
        <w:t xml:space="preserve">. 2 ч. 3 ст. 51); та ін. </w:t>
      </w:r>
    </w:p>
    <w:p w14:paraId="01FD55C3" w14:textId="77777777" w:rsidR="005135FC" w:rsidRPr="00F30C53" w:rsidRDefault="005135FC" w:rsidP="00EA4B53">
      <w:pPr>
        <w:spacing w:after="0" w:line="360" w:lineRule="auto"/>
        <w:ind w:firstLine="567"/>
        <w:jc w:val="both"/>
        <w:rPr>
          <w:rFonts w:ascii="Times New Roman" w:hAnsi="Times New Roman" w:cs="Times New Roman"/>
          <w:sz w:val="28"/>
          <w:szCs w:val="28"/>
          <w:lang w:val="uk-UA"/>
        </w:rPr>
      </w:pPr>
      <w:r w:rsidRPr="00F30C53">
        <w:rPr>
          <w:rFonts w:ascii="Times New Roman" w:hAnsi="Times New Roman" w:cs="Times New Roman"/>
          <w:sz w:val="28"/>
          <w:szCs w:val="28"/>
          <w:lang w:val="uk-UA"/>
        </w:rPr>
        <w:t xml:space="preserve">Важливою антропологічною проблемою антикорупційного законодавства України на шляху розбудови відкритого суспільства стають також норми, які технічно перенесені за зразками Західних країн, проте не відповідають існуючим </w:t>
      </w:r>
      <w:proofErr w:type="spellStart"/>
      <w:r w:rsidRPr="00F30C53">
        <w:rPr>
          <w:rFonts w:ascii="Times New Roman" w:hAnsi="Times New Roman" w:cs="Times New Roman"/>
          <w:sz w:val="28"/>
          <w:szCs w:val="28"/>
          <w:lang w:val="uk-UA"/>
        </w:rPr>
        <w:t>соціорегуляційним</w:t>
      </w:r>
      <w:proofErr w:type="spellEnd"/>
      <w:r w:rsidRPr="00F30C53">
        <w:rPr>
          <w:rFonts w:ascii="Times New Roman" w:hAnsi="Times New Roman" w:cs="Times New Roman"/>
          <w:sz w:val="28"/>
          <w:szCs w:val="28"/>
          <w:lang w:val="uk-UA"/>
        </w:rPr>
        <w:t xml:space="preserve"> практикам, культурним цінностям і кодам, не спираються на відповідні бюрократичні цінності. Наприклад, тільки формальною вимогою закону, а не результатом закономірного правового розвитку стали для абсолютної більшості службових осіб дії у разі отримання подарунку (акт, зберігання, сумніви щодо можливості одержання подарунка і письмове звернення за консультацією до територіального органу НАЗК тощо), для абсолютної більшості юридичних осіб чинні у них антикорупційні програми  (статті 24, 62 профільного закону відповідно) тощо.</w:t>
      </w:r>
    </w:p>
    <w:p w14:paraId="437EE414" w14:textId="77777777" w:rsidR="00D86922" w:rsidRPr="00F30C53" w:rsidRDefault="005135FC" w:rsidP="00EA4B53">
      <w:pPr>
        <w:spacing w:after="0" w:line="360" w:lineRule="auto"/>
        <w:ind w:firstLine="567"/>
        <w:jc w:val="both"/>
        <w:rPr>
          <w:rFonts w:ascii="Times New Roman" w:hAnsi="Times New Roman" w:cs="Times New Roman"/>
          <w:sz w:val="28"/>
          <w:szCs w:val="28"/>
          <w:lang w:val="uk-UA"/>
        </w:rPr>
      </w:pPr>
      <w:r w:rsidRPr="00F30C53">
        <w:rPr>
          <w:rFonts w:ascii="Times New Roman" w:hAnsi="Times New Roman" w:cs="Times New Roman"/>
          <w:sz w:val="28"/>
          <w:szCs w:val="28"/>
          <w:lang w:val="uk-UA"/>
        </w:rPr>
        <w:t xml:space="preserve">Юридично й </w:t>
      </w:r>
      <w:proofErr w:type="spellStart"/>
      <w:r w:rsidRPr="00F30C53">
        <w:rPr>
          <w:rFonts w:ascii="Times New Roman" w:hAnsi="Times New Roman" w:cs="Times New Roman"/>
          <w:sz w:val="28"/>
          <w:szCs w:val="28"/>
          <w:lang w:val="uk-UA"/>
        </w:rPr>
        <w:t>антропно</w:t>
      </w:r>
      <w:proofErr w:type="spellEnd"/>
      <w:r w:rsidRPr="00F30C53">
        <w:rPr>
          <w:rFonts w:ascii="Times New Roman" w:hAnsi="Times New Roman" w:cs="Times New Roman"/>
          <w:sz w:val="28"/>
          <w:szCs w:val="28"/>
          <w:lang w:val="uk-UA"/>
        </w:rPr>
        <w:t xml:space="preserve"> невиправданими через обтічність, </w:t>
      </w:r>
      <w:proofErr w:type="spellStart"/>
      <w:r w:rsidRPr="00F30C53">
        <w:rPr>
          <w:rFonts w:ascii="Times New Roman" w:hAnsi="Times New Roman" w:cs="Times New Roman"/>
          <w:sz w:val="28"/>
          <w:szCs w:val="28"/>
          <w:lang w:val="uk-UA"/>
        </w:rPr>
        <w:t>загальноправову</w:t>
      </w:r>
      <w:proofErr w:type="spellEnd"/>
      <w:r w:rsidRPr="00F30C53">
        <w:rPr>
          <w:rFonts w:ascii="Times New Roman" w:hAnsi="Times New Roman" w:cs="Times New Roman"/>
          <w:sz w:val="28"/>
          <w:szCs w:val="28"/>
          <w:lang w:val="uk-UA"/>
        </w:rPr>
        <w:t xml:space="preserve">/законодавчу </w:t>
      </w:r>
      <w:proofErr w:type="spellStart"/>
      <w:r w:rsidRPr="00F30C53">
        <w:rPr>
          <w:rFonts w:ascii="Times New Roman" w:hAnsi="Times New Roman" w:cs="Times New Roman"/>
          <w:sz w:val="28"/>
          <w:szCs w:val="28"/>
          <w:lang w:val="uk-UA"/>
        </w:rPr>
        <w:t>позаконтекстуальність</w:t>
      </w:r>
      <w:proofErr w:type="spellEnd"/>
      <w:r w:rsidRPr="00F30C53">
        <w:rPr>
          <w:rFonts w:ascii="Times New Roman" w:hAnsi="Times New Roman" w:cs="Times New Roman"/>
          <w:sz w:val="28"/>
          <w:szCs w:val="28"/>
          <w:lang w:val="uk-UA"/>
        </w:rPr>
        <w:t xml:space="preserve">, </w:t>
      </w:r>
      <w:proofErr w:type="spellStart"/>
      <w:r w:rsidRPr="00F30C53">
        <w:rPr>
          <w:rFonts w:ascii="Times New Roman" w:hAnsi="Times New Roman" w:cs="Times New Roman"/>
          <w:sz w:val="28"/>
          <w:szCs w:val="28"/>
          <w:lang w:val="uk-UA"/>
        </w:rPr>
        <w:t>дисфункціональність</w:t>
      </w:r>
      <w:proofErr w:type="spellEnd"/>
      <w:r w:rsidRPr="00F30C53">
        <w:rPr>
          <w:rFonts w:ascii="Times New Roman" w:hAnsi="Times New Roman" w:cs="Times New Roman"/>
          <w:sz w:val="28"/>
          <w:szCs w:val="28"/>
          <w:lang w:val="uk-UA"/>
        </w:rPr>
        <w:t xml:space="preserve">, </w:t>
      </w:r>
      <w:proofErr w:type="spellStart"/>
      <w:r w:rsidRPr="00F30C53">
        <w:rPr>
          <w:rFonts w:ascii="Times New Roman" w:hAnsi="Times New Roman" w:cs="Times New Roman"/>
          <w:sz w:val="28"/>
          <w:szCs w:val="28"/>
          <w:lang w:val="uk-UA"/>
        </w:rPr>
        <w:t>загальносоціальну</w:t>
      </w:r>
      <w:proofErr w:type="spellEnd"/>
      <w:r w:rsidRPr="00F30C53">
        <w:rPr>
          <w:rFonts w:ascii="Times New Roman" w:hAnsi="Times New Roman" w:cs="Times New Roman"/>
          <w:sz w:val="28"/>
          <w:szCs w:val="28"/>
          <w:lang w:val="uk-UA"/>
        </w:rPr>
        <w:t xml:space="preserve"> очевидність і/або конфлікту </w:t>
      </w:r>
      <w:proofErr w:type="spellStart"/>
      <w:r w:rsidRPr="00F30C53">
        <w:rPr>
          <w:rFonts w:ascii="Times New Roman" w:hAnsi="Times New Roman" w:cs="Times New Roman"/>
          <w:sz w:val="28"/>
          <w:szCs w:val="28"/>
          <w:lang w:val="uk-UA"/>
        </w:rPr>
        <w:t>провокаційність</w:t>
      </w:r>
      <w:proofErr w:type="spellEnd"/>
      <w:r w:rsidRPr="00F30C53">
        <w:rPr>
          <w:rFonts w:ascii="Times New Roman" w:hAnsi="Times New Roman" w:cs="Times New Roman"/>
          <w:sz w:val="28"/>
          <w:szCs w:val="28"/>
          <w:lang w:val="uk-UA"/>
        </w:rPr>
        <w:t xml:space="preserve"> стали наступні норми профільного закону: </w:t>
      </w:r>
    </w:p>
    <w:p w14:paraId="0BBC24DF" w14:textId="77777777" w:rsidR="00D86922" w:rsidRPr="00F30C53" w:rsidRDefault="005135FC" w:rsidP="00EA4B53">
      <w:pPr>
        <w:spacing w:after="0" w:line="360" w:lineRule="auto"/>
        <w:ind w:firstLine="567"/>
        <w:jc w:val="both"/>
        <w:rPr>
          <w:rFonts w:ascii="Times New Roman" w:hAnsi="Times New Roman" w:cs="Times New Roman"/>
          <w:sz w:val="28"/>
          <w:szCs w:val="28"/>
          <w:lang w:val="uk-UA"/>
        </w:rPr>
      </w:pPr>
      <w:r w:rsidRPr="00F30C53">
        <w:rPr>
          <w:rFonts w:ascii="Times New Roman" w:hAnsi="Times New Roman" w:cs="Times New Roman"/>
          <w:sz w:val="28"/>
          <w:szCs w:val="28"/>
          <w:lang w:val="uk-UA"/>
        </w:rPr>
        <w:t xml:space="preserve">1) про здатність 5-х атестованих і обраних відповідно до закону членів НАЗК своєчасно та якісно виконувати усі покладені на них повноваження без підміни їхньої роботи роботою працівників апарату, до яких у законі не висувається відповідних високих кваліфікаційних вимог. За відсутності реального </w:t>
      </w:r>
      <w:proofErr w:type="spellStart"/>
      <w:r w:rsidRPr="00F30C53">
        <w:rPr>
          <w:rFonts w:ascii="Times New Roman" w:hAnsi="Times New Roman" w:cs="Times New Roman"/>
          <w:sz w:val="28"/>
          <w:szCs w:val="28"/>
          <w:lang w:val="uk-UA"/>
        </w:rPr>
        <w:t>антропо</w:t>
      </w:r>
      <w:proofErr w:type="spellEnd"/>
      <w:r w:rsidRPr="00F30C53">
        <w:rPr>
          <w:rFonts w:ascii="Times New Roman" w:hAnsi="Times New Roman" w:cs="Times New Roman"/>
          <w:sz w:val="28"/>
          <w:szCs w:val="28"/>
          <w:lang w:val="uk-UA"/>
        </w:rPr>
        <w:t xml:space="preserve">-юридичного відображення розподілу повноважень членів й працівників апарату НАЗК (статті 5, 11); </w:t>
      </w:r>
    </w:p>
    <w:p w14:paraId="4F63D744" w14:textId="77777777" w:rsidR="00D86922" w:rsidRPr="00F30C53" w:rsidRDefault="005135FC" w:rsidP="00EA4B53">
      <w:pPr>
        <w:spacing w:after="0" w:line="360" w:lineRule="auto"/>
        <w:ind w:firstLine="567"/>
        <w:jc w:val="both"/>
        <w:rPr>
          <w:rFonts w:ascii="Times New Roman" w:hAnsi="Times New Roman" w:cs="Times New Roman"/>
          <w:sz w:val="28"/>
          <w:szCs w:val="28"/>
          <w:lang w:val="uk-UA"/>
        </w:rPr>
      </w:pPr>
      <w:r w:rsidRPr="00F30C53">
        <w:rPr>
          <w:rFonts w:ascii="Times New Roman" w:hAnsi="Times New Roman" w:cs="Times New Roman"/>
          <w:sz w:val="28"/>
          <w:szCs w:val="28"/>
          <w:lang w:val="uk-UA"/>
        </w:rPr>
        <w:t xml:space="preserve">2) терміни про «небезпечність роботи», «закріплення» в штаті апарату НАЗК кваліфікованих кадрів, компенсація «інтелектуальних затрат» працівникам при обґрунтуванні розміру заробітної плати (ч. 1 ст. 16); </w:t>
      </w:r>
    </w:p>
    <w:p w14:paraId="244BC9B7" w14:textId="77777777" w:rsidR="00D86922" w:rsidRPr="00F30C53" w:rsidRDefault="005135FC" w:rsidP="00EA4B53">
      <w:pPr>
        <w:spacing w:after="0" w:line="360" w:lineRule="auto"/>
        <w:ind w:firstLine="567"/>
        <w:jc w:val="both"/>
        <w:rPr>
          <w:rFonts w:ascii="Times New Roman" w:hAnsi="Times New Roman" w:cs="Times New Roman"/>
          <w:sz w:val="28"/>
          <w:szCs w:val="28"/>
          <w:lang w:val="uk-UA"/>
        </w:rPr>
      </w:pPr>
      <w:r w:rsidRPr="00F30C53">
        <w:rPr>
          <w:rFonts w:ascii="Times New Roman" w:hAnsi="Times New Roman" w:cs="Times New Roman"/>
          <w:sz w:val="28"/>
          <w:szCs w:val="28"/>
          <w:lang w:val="uk-UA"/>
        </w:rPr>
        <w:lastRenderedPageBreak/>
        <w:t xml:space="preserve">3) заборона використовувати свої службові повноваження або своє становище та пов’язані з цим можливості з метою одержання неправомірної вигоди (ст. 22); </w:t>
      </w:r>
    </w:p>
    <w:p w14:paraId="58640FBE" w14:textId="77777777" w:rsidR="00D86922" w:rsidRPr="00F30C53" w:rsidRDefault="005135FC" w:rsidP="00EA4B53">
      <w:pPr>
        <w:spacing w:after="0" w:line="360" w:lineRule="auto"/>
        <w:ind w:firstLine="567"/>
        <w:jc w:val="both"/>
        <w:rPr>
          <w:rFonts w:ascii="Times New Roman" w:hAnsi="Times New Roman" w:cs="Times New Roman"/>
          <w:sz w:val="28"/>
          <w:szCs w:val="28"/>
          <w:lang w:val="uk-UA"/>
        </w:rPr>
      </w:pPr>
      <w:r w:rsidRPr="00F30C53">
        <w:rPr>
          <w:rFonts w:ascii="Times New Roman" w:hAnsi="Times New Roman" w:cs="Times New Roman"/>
          <w:sz w:val="28"/>
          <w:szCs w:val="28"/>
          <w:lang w:val="uk-UA"/>
        </w:rPr>
        <w:t xml:space="preserve">4) вищезазначений термін «надмірне» втручання у право на недоторканність особистого і сімейного життя; неповне визначення процесу участі громадськості в заходах щодо запобігання корупції (ст. 21); </w:t>
      </w:r>
    </w:p>
    <w:p w14:paraId="6ECFD914" w14:textId="0A862C74" w:rsidR="005135FC" w:rsidRPr="00F30C53" w:rsidRDefault="005135FC" w:rsidP="00EA4B53">
      <w:pPr>
        <w:spacing w:after="0" w:line="360" w:lineRule="auto"/>
        <w:ind w:firstLine="567"/>
        <w:jc w:val="both"/>
        <w:rPr>
          <w:rFonts w:ascii="Times New Roman" w:hAnsi="Times New Roman" w:cs="Times New Roman"/>
          <w:sz w:val="28"/>
          <w:szCs w:val="28"/>
          <w:lang w:val="uk-UA"/>
        </w:rPr>
      </w:pPr>
      <w:r w:rsidRPr="00F30C53">
        <w:rPr>
          <w:rFonts w:ascii="Times New Roman" w:hAnsi="Times New Roman" w:cs="Times New Roman"/>
          <w:sz w:val="28"/>
          <w:szCs w:val="28"/>
          <w:lang w:val="uk-UA"/>
        </w:rPr>
        <w:t>5) обмеження спільної роботи близьких осіб – особливо неприйнятно для сіл та інших населених пунктів з обмеженою кількістю кваліфікованих кадрів (ст. 27).</w:t>
      </w:r>
    </w:p>
    <w:p w14:paraId="36C7B9CC" w14:textId="1E431A95" w:rsidR="005135FC" w:rsidRPr="00F30C53" w:rsidRDefault="005135FC" w:rsidP="00EA4B53">
      <w:pPr>
        <w:spacing w:after="0" w:line="360" w:lineRule="auto"/>
        <w:ind w:firstLine="567"/>
        <w:jc w:val="both"/>
        <w:rPr>
          <w:rFonts w:ascii="Times New Roman" w:hAnsi="Times New Roman" w:cs="Times New Roman"/>
          <w:sz w:val="28"/>
          <w:szCs w:val="28"/>
          <w:lang w:val="uk-UA"/>
        </w:rPr>
      </w:pPr>
      <w:r w:rsidRPr="00F30C53">
        <w:rPr>
          <w:rFonts w:ascii="Times New Roman" w:hAnsi="Times New Roman" w:cs="Times New Roman"/>
          <w:sz w:val="28"/>
          <w:szCs w:val="28"/>
          <w:lang w:val="uk-UA"/>
        </w:rPr>
        <w:t xml:space="preserve">Антропологічна природа сфери протидії корупції обумовлює варіативність ряду суб’єктів відкритого суспільства, не обмежуючись тільки парламентом та іншими органами публічної влади, а й залучаючи до нього громадськість. Громадськість у сфері протидії корупції можна визначити соціальним утворенням протилежним державі, яке спонукає останню до створення умов, необхідних для всебічного розвитку та існування членів такого суспільства у відносинах із приводу запобігання та протидії корупції на підставі та у спосіб, передбачені чинним законодавством України. Інакше кажучи, громадськість виступає своєрідною противагою державі, що однак орієнтується на взаємовигідне та безконфліктне існування з нею. Зазначена форма взаємостосунків, у свою чергу, вимагає формування інституту їх кореспондуючих прав та обов’язків із приводу запобігання та протидії корупції, оскільки у протилежному випадку члени громадянського суспільства будуть розглядатися в якості підпорядкованих державі суб’єктів, а не повноправних учасників відповідних відносин. Громадськість – це суб’єкт права, у тому числі громадське об’єднання, не наділена публічно-владними повноваженнями та комерційною спрямованістю, яка самостійно або спільно з іншими особами з метою оформлення політик, норм та/або поглиблення соціальних структур забезпечує формування соціального базису для демократії, заохочення політичної підзвітності, підтримку довіри та взаємодії, коли безперешкодно вдосконалюється асоціативність, свобода масових рухів </w:t>
      </w:r>
      <w:r w:rsidRPr="00F30C53">
        <w:rPr>
          <w:rFonts w:ascii="Times New Roman" w:hAnsi="Times New Roman" w:cs="Times New Roman"/>
          <w:sz w:val="28"/>
          <w:szCs w:val="28"/>
          <w:lang w:val="uk-UA"/>
        </w:rPr>
        <w:lastRenderedPageBreak/>
        <w:t>і мирних зібрань, формується варіативний ряд колективних утворень залежно від зумовлюючих факторів їхньої антропологічної природи.</w:t>
      </w:r>
    </w:p>
    <w:p w14:paraId="272F964F" w14:textId="77777777" w:rsidR="005135FC" w:rsidRPr="00F30C53" w:rsidRDefault="005135FC" w:rsidP="00EA4B53">
      <w:pPr>
        <w:spacing w:after="0" w:line="360" w:lineRule="auto"/>
        <w:ind w:firstLine="567"/>
        <w:jc w:val="both"/>
        <w:rPr>
          <w:rFonts w:ascii="Times New Roman" w:hAnsi="Times New Roman" w:cs="Times New Roman"/>
          <w:sz w:val="28"/>
          <w:szCs w:val="28"/>
          <w:lang w:val="uk-UA"/>
        </w:rPr>
      </w:pPr>
      <w:r w:rsidRPr="00F30C53">
        <w:rPr>
          <w:rFonts w:ascii="Times New Roman" w:hAnsi="Times New Roman" w:cs="Times New Roman"/>
          <w:b/>
          <w:sz w:val="28"/>
          <w:szCs w:val="28"/>
          <w:lang w:val="uk-UA"/>
        </w:rPr>
        <w:t>Фото 1.</w:t>
      </w:r>
      <w:r w:rsidRPr="00F30C53">
        <w:rPr>
          <w:rFonts w:ascii="Times New Roman" w:hAnsi="Times New Roman" w:cs="Times New Roman"/>
          <w:sz w:val="28"/>
          <w:szCs w:val="28"/>
          <w:lang w:val="uk-UA"/>
        </w:rPr>
        <w:t xml:space="preserve"> Пам’ятник-символ негативного ставлення до корупції (встановлено 01.12.2017, м. Чернівці, автор художник А. Федірко) </w:t>
      </w:r>
    </w:p>
    <w:p w14:paraId="67A62E50" w14:textId="77777777" w:rsidR="005135FC" w:rsidRPr="00EA4B53" w:rsidRDefault="005135FC" w:rsidP="00EA4B53">
      <w:pPr>
        <w:spacing w:after="0" w:line="360" w:lineRule="auto"/>
        <w:ind w:firstLine="567"/>
        <w:jc w:val="center"/>
        <w:rPr>
          <w:rFonts w:ascii="Times New Roman" w:hAnsi="Times New Roman" w:cs="Times New Roman"/>
          <w:b/>
          <w:sz w:val="28"/>
          <w:szCs w:val="28"/>
          <w:lang w:val="uk-UA"/>
        </w:rPr>
      </w:pPr>
      <w:r w:rsidRPr="00F30C53">
        <w:rPr>
          <w:rFonts w:ascii="Times New Roman" w:hAnsi="Times New Roman" w:cs="Times New Roman"/>
          <w:b/>
          <w:noProof/>
          <w:sz w:val="28"/>
          <w:szCs w:val="28"/>
          <w:lang w:val="uk-UA" w:eastAsia="uk-UA"/>
        </w:rPr>
        <w:drawing>
          <wp:inline distT="0" distB="0" distL="0" distR="0" wp14:anchorId="0A8E107B" wp14:editId="071AEE0B">
            <wp:extent cx="3906632" cy="3861447"/>
            <wp:effectExtent l="3492" t="0" r="2223" b="2222"/>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6736 pamytnik Corruption.JPG"/>
                    <pic:cNvPicPr/>
                  </pic:nvPicPr>
                  <pic:blipFill rotWithShape="1">
                    <a:blip r:embed="rId8" cstate="print">
                      <a:extLst>
                        <a:ext uri="{28A0092B-C50C-407E-A947-70E740481C1C}">
                          <a14:useLocalDpi xmlns:a14="http://schemas.microsoft.com/office/drawing/2010/main" val="0"/>
                        </a:ext>
                      </a:extLst>
                    </a:blip>
                    <a:srcRect l="11623" r="12502"/>
                    <a:stretch/>
                  </pic:blipFill>
                  <pic:spPr bwMode="auto">
                    <a:xfrm rot="16200000">
                      <a:off x="0" y="0"/>
                      <a:ext cx="3913126" cy="3867866"/>
                    </a:xfrm>
                    <a:prstGeom prst="rect">
                      <a:avLst/>
                    </a:prstGeom>
                    <a:ln>
                      <a:noFill/>
                    </a:ln>
                    <a:extLst>
                      <a:ext uri="{53640926-AAD7-44D8-BBD7-CCE9431645EC}">
                        <a14:shadowObscured xmlns:a14="http://schemas.microsoft.com/office/drawing/2010/main"/>
                      </a:ext>
                    </a:extLst>
                  </pic:spPr>
                </pic:pic>
              </a:graphicData>
            </a:graphic>
          </wp:inline>
        </w:drawing>
      </w:r>
      <w:bookmarkStart w:id="2" w:name="_GoBack"/>
      <w:bookmarkEnd w:id="2"/>
    </w:p>
    <w:p w14:paraId="2AB05E63" w14:textId="5A8A98F8" w:rsidR="0091061E" w:rsidRPr="00EA4B53" w:rsidRDefault="0091061E" w:rsidP="00EA4B53">
      <w:pPr>
        <w:spacing w:after="0" w:line="360" w:lineRule="auto"/>
        <w:ind w:firstLine="567"/>
        <w:jc w:val="both"/>
        <w:rPr>
          <w:sz w:val="28"/>
          <w:szCs w:val="28"/>
          <w:lang w:val="uk-UA"/>
        </w:rPr>
      </w:pPr>
    </w:p>
    <w:sectPr w:rsidR="0091061E" w:rsidRPr="00EA4B5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6F3E66" w14:textId="77777777" w:rsidR="00641150" w:rsidRDefault="00641150" w:rsidP="000E52F3">
      <w:pPr>
        <w:spacing w:after="0" w:line="240" w:lineRule="auto"/>
      </w:pPr>
      <w:r>
        <w:separator/>
      </w:r>
    </w:p>
  </w:endnote>
  <w:endnote w:type="continuationSeparator" w:id="0">
    <w:p w14:paraId="74F97FC1" w14:textId="77777777" w:rsidR="00641150" w:rsidRDefault="00641150" w:rsidP="000E52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A710BD" w14:textId="77777777" w:rsidR="00641150" w:rsidRDefault="00641150" w:rsidP="000E52F3">
      <w:pPr>
        <w:spacing w:after="0" w:line="240" w:lineRule="auto"/>
      </w:pPr>
      <w:r>
        <w:separator/>
      </w:r>
    </w:p>
  </w:footnote>
  <w:footnote w:type="continuationSeparator" w:id="0">
    <w:p w14:paraId="7B9B1505" w14:textId="77777777" w:rsidR="00641150" w:rsidRDefault="00641150" w:rsidP="000E52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BE11CA"/>
    <w:multiLevelType w:val="hybridMultilevel"/>
    <w:tmpl w:val="52A6451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1E817114"/>
    <w:multiLevelType w:val="hybridMultilevel"/>
    <w:tmpl w:val="76CCE83E"/>
    <w:lvl w:ilvl="0" w:tplc="FE942C2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31A71B69"/>
    <w:multiLevelType w:val="hybridMultilevel"/>
    <w:tmpl w:val="E18E8DF2"/>
    <w:lvl w:ilvl="0" w:tplc="9582399E">
      <w:start w:val="1"/>
      <w:numFmt w:val="decimal"/>
      <w:lvlText w:val="%1."/>
      <w:lvlJc w:val="left"/>
      <w:pPr>
        <w:ind w:left="927" w:hanging="360"/>
      </w:pPr>
      <w:rPr>
        <w:rFonts w:hint="default"/>
        <w:sz w:val="16"/>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365804C1"/>
    <w:multiLevelType w:val="hybridMultilevel"/>
    <w:tmpl w:val="5CFA6B14"/>
    <w:lvl w:ilvl="0" w:tplc="02D61E7C">
      <w:start w:val="1"/>
      <w:numFmt w:val="decimal"/>
      <w:lvlText w:val="%1."/>
      <w:lvlJc w:val="left"/>
      <w:pPr>
        <w:ind w:left="1302" w:hanging="735"/>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 w15:restartNumberingAfterBreak="0">
    <w:nsid w:val="43027884"/>
    <w:multiLevelType w:val="hybridMultilevel"/>
    <w:tmpl w:val="A6F80F08"/>
    <w:lvl w:ilvl="0" w:tplc="8DBE40C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4E3D332A"/>
    <w:multiLevelType w:val="hybridMultilevel"/>
    <w:tmpl w:val="080063E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506B4EAA"/>
    <w:multiLevelType w:val="hybridMultilevel"/>
    <w:tmpl w:val="12B6324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0"/>
  </w:num>
  <w:num w:numId="2">
    <w:abstractNumId w:val="6"/>
  </w:num>
  <w:num w:numId="3">
    <w:abstractNumId w:val="3"/>
  </w:num>
  <w:num w:numId="4">
    <w:abstractNumId w:val="5"/>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06E"/>
    <w:rsid w:val="00003B49"/>
    <w:rsid w:val="0000795C"/>
    <w:rsid w:val="00017E0D"/>
    <w:rsid w:val="0005106E"/>
    <w:rsid w:val="00074A57"/>
    <w:rsid w:val="00082BFD"/>
    <w:rsid w:val="000C1E69"/>
    <w:rsid w:val="000E52F3"/>
    <w:rsid w:val="00114CA3"/>
    <w:rsid w:val="001A7F29"/>
    <w:rsid w:val="001E4CFE"/>
    <w:rsid w:val="001F4558"/>
    <w:rsid w:val="00201896"/>
    <w:rsid w:val="002213BD"/>
    <w:rsid w:val="0022494C"/>
    <w:rsid w:val="002471DD"/>
    <w:rsid w:val="0025040B"/>
    <w:rsid w:val="0025424A"/>
    <w:rsid w:val="00257576"/>
    <w:rsid w:val="00283842"/>
    <w:rsid w:val="002A418F"/>
    <w:rsid w:val="002C3FD0"/>
    <w:rsid w:val="003B0910"/>
    <w:rsid w:val="004053ED"/>
    <w:rsid w:val="00405AC9"/>
    <w:rsid w:val="004231FE"/>
    <w:rsid w:val="00423B2C"/>
    <w:rsid w:val="004640AF"/>
    <w:rsid w:val="004F614F"/>
    <w:rsid w:val="005135FC"/>
    <w:rsid w:val="005278EF"/>
    <w:rsid w:val="00582812"/>
    <w:rsid w:val="00610B1F"/>
    <w:rsid w:val="00614AA5"/>
    <w:rsid w:val="00641150"/>
    <w:rsid w:val="006E4EEC"/>
    <w:rsid w:val="006F2524"/>
    <w:rsid w:val="007213D6"/>
    <w:rsid w:val="0072477F"/>
    <w:rsid w:val="008009A2"/>
    <w:rsid w:val="00840309"/>
    <w:rsid w:val="00845254"/>
    <w:rsid w:val="0085167D"/>
    <w:rsid w:val="00867F5E"/>
    <w:rsid w:val="009010A1"/>
    <w:rsid w:val="0091061E"/>
    <w:rsid w:val="00994E6B"/>
    <w:rsid w:val="009C00B4"/>
    <w:rsid w:val="009D536B"/>
    <w:rsid w:val="00A21B30"/>
    <w:rsid w:val="00B402E7"/>
    <w:rsid w:val="00BA4ED8"/>
    <w:rsid w:val="00BD6864"/>
    <w:rsid w:val="00C22C2B"/>
    <w:rsid w:val="00D5456C"/>
    <w:rsid w:val="00D86922"/>
    <w:rsid w:val="00DD3D43"/>
    <w:rsid w:val="00DE5B0C"/>
    <w:rsid w:val="00E0003B"/>
    <w:rsid w:val="00E01E97"/>
    <w:rsid w:val="00E37008"/>
    <w:rsid w:val="00E54B14"/>
    <w:rsid w:val="00E55101"/>
    <w:rsid w:val="00E661C8"/>
    <w:rsid w:val="00E913B5"/>
    <w:rsid w:val="00EA4B53"/>
    <w:rsid w:val="00F038E4"/>
    <w:rsid w:val="00F30C53"/>
    <w:rsid w:val="00FA6D50"/>
    <w:rsid w:val="00FF12D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8766E"/>
  <w15:chartTrackingRefBased/>
  <w15:docId w15:val="{D47C8A18-DAB4-4D06-AEC6-59063BB81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0E52F3"/>
  </w:style>
  <w:style w:type="paragraph" w:styleId="a3">
    <w:name w:val="List Paragraph"/>
    <w:basedOn w:val="a"/>
    <w:uiPriority w:val="34"/>
    <w:qFormat/>
    <w:rsid w:val="000E52F3"/>
    <w:pPr>
      <w:spacing w:after="200" w:line="276" w:lineRule="auto"/>
      <w:ind w:left="720"/>
      <w:contextualSpacing/>
    </w:pPr>
    <w:rPr>
      <w:lang w:val="uk-UA"/>
    </w:rPr>
  </w:style>
  <w:style w:type="paragraph" w:styleId="a4">
    <w:name w:val="footnote text"/>
    <w:basedOn w:val="a"/>
    <w:link w:val="a5"/>
    <w:uiPriority w:val="99"/>
    <w:semiHidden/>
    <w:unhideWhenUsed/>
    <w:rsid w:val="000E52F3"/>
    <w:pPr>
      <w:spacing w:after="0" w:line="240" w:lineRule="auto"/>
    </w:pPr>
    <w:rPr>
      <w:rFonts w:ascii="Calibri" w:eastAsia="Calibri" w:hAnsi="Calibri" w:cs="Times New Roman"/>
      <w:sz w:val="20"/>
      <w:szCs w:val="20"/>
      <w:lang w:val="it-IT"/>
    </w:rPr>
  </w:style>
  <w:style w:type="character" w:customStyle="1" w:styleId="a5">
    <w:name w:val="Текст сноски Знак"/>
    <w:basedOn w:val="a0"/>
    <w:link w:val="a4"/>
    <w:uiPriority w:val="99"/>
    <w:semiHidden/>
    <w:rsid w:val="000E52F3"/>
    <w:rPr>
      <w:rFonts w:ascii="Calibri" w:eastAsia="Calibri" w:hAnsi="Calibri" w:cs="Times New Roman"/>
      <w:sz w:val="20"/>
      <w:szCs w:val="20"/>
      <w:lang w:val="it-IT"/>
    </w:rPr>
  </w:style>
  <w:style w:type="character" w:styleId="a6">
    <w:name w:val="footnote reference"/>
    <w:basedOn w:val="a0"/>
    <w:uiPriority w:val="99"/>
    <w:semiHidden/>
    <w:unhideWhenUsed/>
    <w:rsid w:val="000E52F3"/>
    <w:rPr>
      <w:vertAlign w:val="superscript"/>
    </w:rPr>
  </w:style>
  <w:style w:type="table" w:styleId="a7">
    <w:name w:val="Table Grid"/>
    <w:basedOn w:val="a1"/>
    <w:rsid w:val="000E52F3"/>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2">
    <w:name w:val="rvps2"/>
    <w:basedOn w:val="a"/>
    <w:rsid w:val="00DE5B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6">
    <w:name w:val="rvts46"/>
    <w:basedOn w:val="a0"/>
    <w:rsid w:val="00DE5B0C"/>
  </w:style>
  <w:style w:type="character" w:customStyle="1" w:styleId="rvts11">
    <w:name w:val="rvts11"/>
    <w:basedOn w:val="a0"/>
    <w:rsid w:val="00DE5B0C"/>
  </w:style>
  <w:style w:type="character" w:styleId="a8">
    <w:name w:val="Hyperlink"/>
    <w:basedOn w:val="a0"/>
    <w:uiPriority w:val="99"/>
    <w:semiHidden/>
    <w:unhideWhenUsed/>
    <w:rsid w:val="00DE5B0C"/>
    <w:rPr>
      <w:color w:val="0000FF"/>
      <w:u w:val="single"/>
    </w:rPr>
  </w:style>
  <w:style w:type="character" w:customStyle="1" w:styleId="hps">
    <w:name w:val="hps"/>
    <w:rsid w:val="00082BFD"/>
  </w:style>
  <w:style w:type="character" w:customStyle="1" w:styleId="tlid-translation">
    <w:name w:val="tlid-translation"/>
    <w:basedOn w:val="a0"/>
    <w:rsid w:val="00082BFD"/>
  </w:style>
  <w:style w:type="paragraph" w:styleId="a9">
    <w:name w:val="Body Text Indent"/>
    <w:basedOn w:val="a"/>
    <w:link w:val="aa"/>
    <w:rsid w:val="00074A57"/>
    <w:pPr>
      <w:spacing w:after="120" w:line="240" w:lineRule="auto"/>
      <w:ind w:left="283"/>
    </w:pPr>
    <w:rPr>
      <w:rFonts w:ascii="Times New Roman" w:eastAsia="Times New Roman" w:hAnsi="Times New Roman" w:cs="Times New Roman"/>
      <w:sz w:val="24"/>
      <w:szCs w:val="24"/>
      <w:lang w:eastAsia="ru-RU"/>
    </w:rPr>
  </w:style>
  <w:style w:type="character" w:customStyle="1" w:styleId="aa">
    <w:name w:val="Основной текст с отступом Знак"/>
    <w:basedOn w:val="a0"/>
    <w:link w:val="a9"/>
    <w:rsid w:val="00074A57"/>
    <w:rPr>
      <w:rFonts w:ascii="Times New Roman" w:eastAsia="Times New Roman" w:hAnsi="Times New Roman" w:cs="Times New Roman"/>
      <w:sz w:val="24"/>
      <w:szCs w:val="24"/>
      <w:lang w:eastAsia="ru-RU"/>
    </w:rPr>
  </w:style>
  <w:style w:type="paragraph" w:customStyle="1" w:styleId="1">
    <w:name w:val="Обычный1"/>
    <w:rsid w:val="006F2524"/>
    <w:pPr>
      <w:widowControl w:val="0"/>
      <w:spacing w:after="0" w:line="240" w:lineRule="auto"/>
      <w:jc w:val="both"/>
    </w:pPr>
    <w:rPr>
      <w:rFonts w:ascii="Times New Roman" w:eastAsia="Times New Roman" w:hAnsi="Times New Roman" w:cs="Times New Roman"/>
      <w:sz w:val="28"/>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238860">
      <w:bodyDiv w:val="1"/>
      <w:marLeft w:val="0"/>
      <w:marRight w:val="0"/>
      <w:marTop w:val="0"/>
      <w:marBottom w:val="0"/>
      <w:divBdr>
        <w:top w:val="none" w:sz="0" w:space="0" w:color="auto"/>
        <w:left w:val="none" w:sz="0" w:space="0" w:color="auto"/>
        <w:bottom w:val="none" w:sz="0" w:space="0" w:color="auto"/>
        <w:right w:val="none" w:sz="0" w:space="0" w:color="auto"/>
      </w:divBdr>
    </w:div>
    <w:div w:id="292564052">
      <w:bodyDiv w:val="1"/>
      <w:marLeft w:val="0"/>
      <w:marRight w:val="0"/>
      <w:marTop w:val="0"/>
      <w:marBottom w:val="0"/>
      <w:divBdr>
        <w:top w:val="none" w:sz="0" w:space="0" w:color="auto"/>
        <w:left w:val="none" w:sz="0" w:space="0" w:color="auto"/>
        <w:bottom w:val="none" w:sz="0" w:space="0" w:color="auto"/>
        <w:right w:val="none" w:sz="0" w:space="0" w:color="auto"/>
      </w:divBdr>
    </w:div>
    <w:div w:id="485560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6B755D-B593-4004-AB98-BFC0FF7F3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9</Pages>
  <Words>2338</Words>
  <Characters>13333</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Olexiy</dc:creator>
  <cp:keywords/>
  <dc:description/>
  <cp:lastModifiedBy>Olexiy</cp:lastModifiedBy>
  <cp:revision>51</cp:revision>
  <dcterms:created xsi:type="dcterms:W3CDTF">2020-05-02T20:37:00Z</dcterms:created>
  <dcterms:modified xsi:type="dcterms:W3CDTF">2020-09-09T12:52:00Z</dcterms:modified>
</cp:coreProperties>
</file>