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6B" w:rsidRDefault="00EA526B" w:rsidP="00EA526B">
      <w:pPr>
        <w:tabs>
          <w:tab w:val="left" w:pos="284"/>
        </w:tabs>
        <w:spacing w:line="276" w:lineRule="auto"/>
        <w:jc w:val="center"/>
        <w:rPr>
          <w:b/>
          <w:sz w:val="24"/>
          <w:szCs w:val="24"/>
        </w:rPr>
      </w:pPr>
      <w:r w:rsidRPr="00A665E0">
        <w:rPr>
          <w:b/>
          <w:sz w:val="24"/>
          <w:szCs w:val="24"/>
        </w:rPr>
        <w:t>Завдання</w:t>
      </w:r>
      <w:r>
        <w:rPr>
          <w:b/>
          <w:sz w:val="24"/>
          <w:szCs w:val="24"/>
        </w:rPr>
        <w:t xml:space="preserve"> 3</w:t>
      </w:r>
      <w:bookmarkStart w:id="0" w:name="_GoBack"/>
      <w:bookmarkEnd w:id="0"/>
    </w:p>
    <w:p w:rsidR="00EA526B" w:rsidRPr="00A665E0" w:rsidRDefault="00EA526B" w:rsidP="00EA526B">
      <w:pPr>
        <w:tabs>
          <w:tab w:val="left" w:pos="284"/>
        </w:tabs>
        <w:spacing w:line="276" w:lineRule="auto"/>
        <w:jc w:val="both"/>
        <w:rPr>
          <w:b/>
          <w:sz w:val="24"/>
          <w:szCs w:val="24"/>
        </w:rPr>
      </w:pPr>
      <w:r w:rsidRPr="00A665E0">
        <w:rPr>
          <w:b/>
          <w:sz w:val="24"/>
          <w:szCs w:val="24"/>
        </w:rPr>
        <w:t>Завдання:</w:t>
      </w:r>
    </w:p>
    <w:p w:rsidR="00EA526B" w:rsidRPr="00A665E0" w:rsidRDefault="00EA526B" w:rsidP="00EA526B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5E0">
        <w:rPr>
          <w:rFonts w:ascii="Times New Roman" w:hAnsi="Times New Roman" w:cs="Times New Roman"/>
          <w:sz w:val="24"/>
          <w:szCs w:val="24"/>
        </w:rPr>
        <w:t>Проаналізувати а</w:t>
      </w:r>
      <w:r w:rsidRPr="00A665E0">
        <w:rPr>
          <w:rFonts w:ascii="Times New Roman" w:eastAsia="Times New Roman" w:hAnsi="Times New Roman" w:cs="Times New Roman"/>
          <w:sz w:val="24"/>
          <w:szCs w:val="24"/>
        </w:rPr>
        <w:t xml:space="preserve">даптацію до іноземного середовища; </w:t>
      </w:r>
    </w:p>
    <w:p w:rsidR="00EA526B" w:rsidRPr="00A665E0" w:rsidRDefault="00EA526B" w:rsidP="00EA526B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5E0"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Охарактеризувати класифікацію рівнів економічного розвитку; </w:t>
      </w:r>
    </w:p>
    <w:p w:rsidR="00EA526B" w:rsidRPr="00A665E0" w:rsidRDefault="00EA526B" w:rsidP="00EA526B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5E0">
        <w:rPr>
          <w:rFonts w:ascii="Times New Roman" w:eastAsia="Times New Roman" w:hAnsi="Times New Roman" w:cs="Times New Roman"/>
          <w:sz w:val="24"/>
          <w:szCs w:val="24"/>
        </w:rPr>
        <w:t>Визначити торговельних партнерів для України;</w:t>
      </w:r>
    </w:p>
    <w:p w:rsidR="00EA526B" w:rsidRPr="00A665E0" w:rsidRDefault="00EA526B" w:rsidP="00EA526B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65E0">
        <w:rPr>
          <w:rFonts w:ascii="Times New Roman" w:eastAsia="Times New Roman" w:hAnsi="Times New Roman" w:cs="Times New Roman"/>
          <w:sz w:val="24"/>
          <w:szCs w:val="24"/>
        </w:rPr>
        <w:t>Розглянути теорію подібності країн, проаналізувати відмінності країн у торговельних зв’язках.</w:t>
      </w:r>
    </w:p>
    <w:p w:rsidR="00EA526B" w:rsidRPr="00A665E0" w:rsidRDefault="00EA526B" w:rsidP="00EA526B">
      <w:pPr>
        <w:tabs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F9498D" w:rsidRDefault="00F9498D"/>
    <w:sectPr w:rsidR="00F9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1D"/>
    <w:multiLevelType w:val="hybridMultilevel"/>
    <w:tmpl w:val="58C01020"/>
    <w:lvl w:ilvl="0" w:tplc="53BCB97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6B"/>
    <w:rsid w:val="00EA526B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526B"/>
    <w:pPr>
      <w:ind w:left="720"/>
      <w:contextualSpacing/>
    </w:pPr>
    <w:rPr>
      <w:rFonts w:ascii="Calibri" w:eastAsia="Calibri" w:hAnsi="Calibri" w:cs="Arial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A526B"/>
    <w:pPr>
      <w:ind w:left="720"/>
      <w:contextualSpacing/>
    </w:pPr>
    <w:rPr>
      <w:rFonts w:ascii="Calibri" w:eastAsia="Calibri" w:hAnsi="Calibri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2020-09-09T16:54:00Z</dcterms:created>
  <dcterms:modified xsi:type="dcterms:W3CDTF">2020-09-09T16:55:00Z</dcterms:modified>
</cp:coreProperties>
</file>