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6C" w:rsidRPr="00B57A0F" w:rsidRDefault="0018376C" w:rsidP="001837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A0F">
        <w:rPr>
          <w:rFonts w:ascii="Times New Roman" w:eastAsia="Times New Roman" w:hAnsi="Times New Roman" w:cs="Times New Roman"/>
          <w:b/>
          <w:sz w:val="28"/>
          <w:szCs w:val="28"/>
        </w:rPr>
        <w:t>Запорізький національний університет</w:t>
      </w:r>
      <w:r w:rsidRPr="00B57A0F">
        <w:rPr>
          <w:rFonts w:ascii="Times New Roman" w:eastAsia="Times New Roman" w:hAnsi="Times New Roman" w:cs="Times New Roman"/>
          <w:b/>
          <w:sz w:val="28"/>
          <w:szCs w:val="28"/>
        </w:rPr>
        <w:br/>
        <w:t>факультет соціальної педагогіки та психології</w:t>
      </w:r>
      <w:r w:rsidRPr="00B57A0F">
        <w:rPr>
          <w:rFonts w:ascii="Times New Roman" w:eastAsia="Times New Roman" w:hAnsi="Times New Roman" w:cs="Times New Roman"/>
          <w:b/>
          <w:sz w:val="28"/>
          <w:szCs w:val="28"/>
        </w:rPr>
        <w:br/>
        <w:t>кафедра соціальної педагогіки та спеціальної освіти</w:t>
      </w:r>
    </w:p>
    <w:tbl>
      <w:tblPr>
        <w:tblW w:w="1467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839"/>
        <w:gridCol w:w="10831"/>
      </w:tblGrid>
      <w:tr w:rsidR="0018376C" w:rsidRPr="003A40B7" w:rsidTr="00B57A0F">
        <w:trPr>
          <w:trHeight w:val="439"/>
        </w:trPr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3A40B7" w:rsidRDefault="0018376C" w:rsidP="002627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курсу</w:t>
            </w:r>
          </w:p>
        </w:tc>
        <w:tc>
          <w:tcPr>
            <w:tcW w:w="10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B57A0F" w:rsidRDefault="0018376C" w:rsidP="00B57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A0F"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DE3F92" w:rsidRPr="00B57A0F">
              <w:rPr>
                <w:rFonts w:ascii="Times New Roman" w:hAnsi="Times New Roman" w:cs="Times New Roman"/>
                <w:b/>
                <w:sz w:val="24"/>
              </w:rPr>
              <w:t>іжнародні та національні соціальні служби</w:t>
            </w:r>
          </w:p>
        </w:tc>
      </w:tr>
      <w:tr w:rsidR="0018376C" w:rsidRPr="003A40B7" w:rsidTr="00B57A0F">
        <w:trPr>
          <w:trHeight w:val="340"/>
        </w:trPr>
        <w:tc>
          <w:tcPr>
            <w:tcW w:w="3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3A40B7" w:rsidRDefault="0018376C" w:rsidP="0026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Викладач  </w:t>
            </w:r>
          </w:p>
        </w:tc>
        <w:tc>
          <w:tcPr>
            <w:tcW w:w="10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B57A0F" w:rsidRDefault="0018376C" w:rsidP="00B57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7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Гладиш Марія Олександрівна</w:t>
            </w:r>
          </w:p>
        </w:tc>
      </w:tr>
      <w:tr w:rsidR="0018376C" w:rsidRPr="003A40B7" w:rsidTr="002627AE">
        <w:trPr>
          <w:trHeight w:val="540"/>
        </w:trPr>
        <w:tc>
          <w:tcPr>
            <w:tcW w:w="3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3A40B7" w:rsidRDefault="0018376C" w:rsidP="0026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Профіль</w:t>
            </w: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викладача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сайті ЗНУ</w:t>
            </w:r>
          </w:p>
        </w:tc>
        <w:tc>
          <w:tcPr>
            <w:tcW w:w="10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A31C1D" w:rsidRDefault="009E3875" w:rsidP="0026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18376C" w:rsidRPr="00490F88">
                <w:rPr>
                  <w:rStyle w:val="a4"/>
                </w:rPr>
                <w:t>http://sites.znu.edu.ua/cms/index.php?action=news/view_details&amp;news_id=37493&amp;lang=ukr&amp;news_code=gladish-mariya-oleksandrivna</w:t>
              </w:r>
            </w:hyperlink>
            <w:r w:rsidR="0018376C">
              <w:t xml:space="preserve"> </w:t>
            </w:r>
          </w:p>
        </w:tc>
      </w:tr>
      <w:tr w:rsidR="0018376C" w:rsidRPr="003A40B7" w:rsidTr="002627AE">
        <w:trPr>
          <w:trHeight w:val="374"/>
        </w:trPr>
        <w:tc>
          <w:tcPr>
            <w:tcW w:w="3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3A40B7" w:rsidRDefault="0018376C" w:rsidP="0026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Контактний тел.</w:t>
            </w:r>
          </w:p>
        </w:tc>
        <w:tc>
          <w:tcPr>
            <w:tcW w:w="10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A31C1D" w:rsidRDefault="0018376C" w:rsidP="0026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0679450756</w:t>
            </w:r>
          </w:p>
        </w:tc>
      </w:tr>
      <w:tr w:rsidR="0018376C" w:rsidRPr="003A40B7" w:rsidTr="002627AE">
        <w:trPr>
          <w:trHeight w:val="227"/>
        </w:trPr>
        <w:tc>
          <w:tcPr>
            <w:tcW w:w="3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3A40B7" w:rsidRDefault="0018376C" w:rsidP="0026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8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3A40B7" w:rsidRDefault="0018376C" w:rsidP="002627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mariglspp@gmail.com</w:t>
            </w:r>
          </w:p>
        </w:tc>
      </w:tr>
      <w:tr w:rsidR="0018376C" w:rsidRPr="003A40B7" w:rsidTr="002627AE">
        <w:trPr>
          <w:trHeight w:val="460"/>
        </w:trPr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3A40B7" w:rsidRDefault="0018376C" w:rsidP="002627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курсу в  СЕЗН </w:t>
            </w:r>
            <w:proofErr w:type="spellStart"/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10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222616" w:rsidRDefault="009E3875" w:rsidP="0026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6" w:anchor="section-1" w:history="1">
              <w:r w:rsidR="0018376C" w:rsidRPr="00A31C1D">
                <w:rPr>
                  <w:rStyle w:val="a4"/>
                </w:rPr>
                <w:t>https://moodle.znu.edu.ua/course/view.php?id=7971#section-1</w:t>
              </w:r>
            </w:hyperlink>
          </w:p>
        </w:tc>
      </w:tr>
      <w:tr w:rsidR="0018376C" w:rsidRPr="003A40B7" w:rsidTr="002627AE">
        <w:trPr>
          <w:trHeight w:val="1047"/>
        </w:trPr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3A40B7" w:rsidRDefault="0018376C" w:rsidP="002627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10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8376C" w:rsidRPr="003A40B7" w:rsidRDefault="0018376C" w:rsidP="002627A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>за розкладом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консультацій</w:t>
            </w: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викладачів кафедри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 педагогіки та спеціальної освіти</w:t>
            </w:r>
          </w:p>
          <w:p w:rsidR="0018376C" w:rsidRPr="003A40B7" w:rsidRDefault="0018376C" w:rsidP="002627A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</w:t>
            </w: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практичних занять</w:t>
            </w:r>
          </w:p>
          <w:p w:rsidR="0018376C" w:rsidRPr="003A40B7" w:rsidRDefault="0018376C" w:rsidP="002627A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попередньою домовленістю</w:t>
            </w:r>
          </w:p>
          <w:p w:rsidR="0018376C" w:rsidRPr="003A40B7" w:rsidRDefault="0018376C" w:rsidP="002627A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онлайн-консультації</w:t>
            </w:r>
            <w:proofErr w:type="spellEnd"/>
          </w:p>
        </w:tc>
      </w:tr>
    </w:tbl>
    <w:p w:rsidR="0018376C" w:rsidRPr="003A40B7" w:rsidRDefault="0018376C" w:rsidP="001837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5DF1" w:rsidRPr="00B25DF1" w:rsidRDefault="0018376C" w:rsidP="00B25DF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37A86">
        <w:rPr>
          <w:rFonts w:ascii="Times New Roman" w:hAnsi="Times New Roman" w:cs="Times New Roman"/>
          <w:b/>
          <w:sz w:val="24"/>
        </w:rPr>
        <w:t xml:space="preserve">Коротка анотація до курсу. </w:t>
      </w:r>
      <w:r w:rsidR="00B25DF1" w:rsidRPr="00B25DF1">
        <w:rPr>
          <w:rFonts w:ascii="Times New Roman" w:hAnsi="Times New Roman" w:cs="Times New Roman"/>
          <w:sz w:val="24"/>
        </w:rPr>
        <w:t>Діяльність соціальних служб взаємопов'язана із державною політикою, передусім соціальною політикою, реалізацією концепції прав людини, правовим регулюванням соціальної сфери, правовою культурою суспільства, соціальними умовами різних суспільних груп. Законодавство</w:t>
      </w:r>
      <w:r w:rsidR="00B25DF1">
        <w:rPr>
          <w:rFonts w:ascii="Times New Roman" w:hAnsi="Times New Roman" w:cs="Times New Roman"/>
          <w:sz w:val="24"/>
        </w:rPr>
        <w:t xml:space="preserve"> різних країн</w:t>
      </w:r>
      <w:r w:rsidR="00B25DF1" w:rsidRPr="00B25DF1">
        <w:rPr>
          <w:rFonts w:ascii="Times New Roman" w:hAnsi="Times New Roman" w:cs="Times New Roman"/>
          <w:sz w:val="24"/>
        </w:rPr>
        <w:t xml:space="preserve"> забезпечує правовий статус соціальної роботи, створює правові умови для ефективного регулювання діяльності соціальних служб і системи соціальної підтримки населення. У багатьох країнах чимало питань регулювання практики соціальної роботи делеговано фаховим асоціаціям соціальних працівників, що посилює відповідальність професійної спільноти за дотримання фахових стандартів. </w:t>
      </w:r>
    </w:p>
    <w:p w:rsidR="00700BB8" w:rsidRDefault="00B25DF1" w:rsidP="00700BB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</w:rPr>
        <w:t xml:space="preserve"> </w:t>
      </w:r>
      <w:r w:rsidR="0018376C" w:rsidRPr="00645399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 й завдання курсу. </w:t>
      </w:r>
      <w:r w:rsidR="00700BB8">
        <w:rPr>
          <w:rFonts w:ascii="Times New Roman" w:hAnsi="Times New Roman" w:cs="Times New Roman"/>
          <w:sz w:val="24"/>
          <w:szCs w:val="24"/>
        </w:rPr>
        <w:t>Мета</w:t>
      </w:r>
      <w:r w:rsidR="0018376C" w:rsidRPr="00B43141">
        <w:rPr>
          <w:rFonts w:ascii="Times New Roman" w:hAnsi="Times New Roman" w:cs="Times New Roman"/>
          <w:sz w:val="24"/>
          <w:szCs w:val="24"/>
        </w:rPr>
        <w:t xml:space="preserve"> вивчення нормативної дисципліни </w:t>
      </w:r>
      <w:r w:rsidR="0018376C" w:rsidRPr="00D37A86">
        <w:rPr>
          <w:sz w:val="24"/>
        </w:rPr>
        <w:t>«</w:t>
      </w:r>
      <w:r w:rsidR="009B7F3C" w:rsidRPr="00146E68">
        <w:rPr>
          <w:rFonts w:ascii="Times New Roman" w:hAnsi="Times New Roman" w:cs="Times New Roman"/>
          <w:sz w:val="24"/>
        </w:rPr>
        <w:t>М</w:t>
      </w:r>
      <w:r w:rsidR="009B7F3C">
        <w:rPr>
          <w:rFonts w:ascii="Times New Roman" w:hAnsi="Times New Roman" w:cs="Times New Roman"/>
          <w:sz w:val="24"/>
        </w:rPr>
        <w:t>іжнародні та національні соціальні служби</w:t>
      </w:r>
      <w:r w:rsidR="0018376C" w:rsidRPr="00D37A86">
        <w:rPr>
          <w:sz w:val="24"/>
        </w:rPr>
        <w:t>»</w:t>
      </w:r>
      <w:r w:rsidR="00700BB8">
        <w:rPr>
          <w:sz w:val="24"/>
        </w:rPr>
        <w:t xml:space="preserve"> - </w:t>
      </w:r>
      <w:r w:rsidR="00700BB8" w:rsidRPr="00700BB8">
        <w:rPr>
          <w:rFonts w:ascii="Times New Roman" w:eastAsia="Calibri" w:hAnsi="Times New Roman" w:cs="Times New Roman"/>
          <w:sz w:val="24"/>
          <w:szCs w:val="24"/>
        </w:rPr>
        <w:t>сформувати у майбутніх соціальних працівників теоретичні знання про специфіку діяльності у соціальних закладах України</w:t>
      </w:r>
      <w:r w:rsidR="00700BB8">
        <w:rPr>
          <w:rFonts w:ascii="Times New Roman" w:eastAsia="Calibri" w:hAnsi="Times New Roman" w:cs="Times New Roman"/>
          <w:sz w:val="24"/>
          <w:szCs w:val="24"/>
        </w:rPr>
        <w:t xml:space="preserve"> та інших країн</w:t>
      </w:r>
      <w:r w:rsidR="00700BB8" w:rsidRPr="00700BB8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="00700BB8" w:rsidRPr="00700B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різних категорій населення, сприяти оволодінню ними практичними уміннями, необхідними для застосування у майбутній професійній діяльності. </w:t>
      </w:r>
    </w:p>
    <w:p w:rsidR="0018376C" w:rsidRPr="00FD2E36" w:rsidRDefault="0018376C" w:rsidP="00700BB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E36">
        <w:rPr>
          <w:rFonts w:ascii="Times New Roman" w:hAnsi="Times New Roman" w:cs="Times New Roman"/>
          <w:b/>
          <w:sz w:val="24"/>
          <w:szCs w:val="24"/>
        </w:rPr>
        <w:t xml:space="preserve">Завдання: </w:t>
      </w:r>
    </w:p>
    <w:p w:rsidR="00687057" w:rsidRPr="00687057" w:rsidRDefault="00687057" w:rsidP="00687057">
      <w:pPr>
        <w:numPr>
          <w:ilvl w:val="0"/>
          <w:numId w:val="6"/>
        </w:numPr>
        <w:tabs>
          <w:tab w:val="left" w:pos="851"/>
        </w:tabs>
        <w:spacing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687057">
        <w:rPr>
          <w:rFonts w:ascii="Times New Roman" w:hAnsi="Times New Roman" w:cs="Times New Roman"/>
          <w:sz w:val="24"/>
        </w:rPr>
        <w:t xml:space="preserve">Ознайомити студентів із теоретико-методологічними основами організації роботи в соціальних службах. </w:t>
      </w:r>
    </w:p>
    <w:p w:rsidR="00687057" w:rsidRPr="00687057" w:rsidRDefault="00687057" w:rsidP="00687057">
      <w:pPr>
        <w:numPr>
          <w:ilvl w:val="0"/>
          <w:numId w:val="6"/>
        </w:numPr>
        <w:tabs>
          <w:tab w:val="left" w:pos="851"/>
        </w:tabs>
        <w:spacing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687057">
        <w:rPr>
          <w:rFonts w:ascii="Times New Roman" w:hAnsi="Times New Roman" w:cs="Times New Roman"/>
          <w:sz w:val="24"/>
        </w:rPr>
        <w:t xml:space="preserve">Розглянути інноваційні технології в роботі міжнародних і національних соціальних служб. </w:t>
      </w:r>
    </w:p>
    <w:p w:rsidR="00687057" w:rsidRPr="00687057" w:rsidRDefault="00687057" w:rsidP="00687057">
      <w:pPr>
        <w:numPr>
          <w:ilvl w:val="0"/>
          <w:numId w:val="6"/>
        </w:numPr>
        <w:tabs>
          <w:tab w:val="left" w:pos="851"/>
        </w:tabs>
        <w:spacing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687057">
        <w:rPr>
          <w:rFonts w:ascii="Times New Roman" w:hAnsi="Times New Roman" w:cs="Times New Roman"/>
          <w:sz w:val="24"/>
        </w:rPr>
        <w:t xml:space="preserve">З’ясувати основні напрями роботи міжнародних і національних соціальних служб. </w:t>
      </w:r>
    </w:p>
    <w:p w:rsidR="00687057" w:rsidRPr="00687057" w:rsidRDefault="00687057" w:rsidP="00687057">
      <w:pPr>
        <w:numPr>
          <w:ilvl w:val="0"/>
          <w:numId w:val="6"/>
        </w:numPr>
        <w:tabs>
          <w:tab w:val="left" w:pos="851"/>
        </w:tabs>
        <w:spacing w:line="240" w:lineRule="auto"/>
        <w:ind w:left="0" w:firstLine="540"/>
        <w:jc w:val="both"/>
        <w:rPr>
          <w:rFonts w:ascii="Times New Roman" w:hAnsi="Times New Roman" w:cs="Times New Roman"/>
          <w:sz w:val="24"/>
        </w:rPr>
      </w:pPr>
      <w:r w:rsidRPr="00687057">
        <w:rPr>
          <w:rFonts w:ascii="Times New Roman" w:hAnsi="Times New Roman" w:cs="Times New Roman"/>
          <w:sz w:val="24"/>
        </w:rPr>
        <w:t xml:space="preserve">Ознайомити студентів з особливостями використання інтегрованого підходу у наданні соціальних послуг в умовах різних країн. </w:t>
      </w:r>
    </w:p>
    <w:p w:rsidR="00687057" w:rsidRPr="00687057" w:rsidRDefault="00687057" w:rsidP="0068705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687057">
        <w:rPr>
          <w:rFonts w:ascii="Times New Roman" w:hAnsi="Times New Roman" w:cs="Times New Roman"/>
          <w:sz w:val="24"/>
        </w:rPr>
        <w:t xml:space="preserve">Спонукати студентів до подальшого вивчення практичного досвіду у сфері соціальної роботи.  </w:t>
      </w:r>
    </w:p>
    <w:p w:rsidR="0018376C" w:rsidRPr="00687057" w:rsidRDefault="00687057" w:rsidP="00687057">
      <w:pPr>
        <w:pStyle w:val="a3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87057">
        <w:rPr>
          <w:rFonts w:ascii="Times New Roman" w:hAnsi="Times New Roman" w:cs="Times New Roman"/>
          <w:sz w:val="24"/>
        </w:rPr>
        <w:t xml:space="preserve">   </w:t>
      </w:r>
    </w:p>
    <w:p w:rsidR="0018376C" w:rsidRDefault="0018376C" w:rsidP="0018376C">
      <w:pPr>
        <w:tabs>
          <w:tab w:val="left" w:pos="851"/>
          <w:tab w:val="left" w:pos="1260"/>
        </w:tabs>
        <w:spacing w:line="240" w:lineRule="auto"/>
        <w:ind w:right="-7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3A40B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Формат курсу – </w:t>
      </w:r>
      <w:r>
        <w:rPr>
          <w:rFonts w:ascii="Times New Roman" w:eastAsia="Times New Roman" w:hAnsi="Times New Roman" w:cs="Times New Roman"/>
          <w:sz w:val="24"/>
          <w:szCs w:val="24"/>
        </w:rPr>
        <w:t>денний і заочний</w:t>
      </w:r>
      <w:r w:rsidRPr="003A40B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3A40B7"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687057">
        <w:rPr>
          <w:rFonts w:ascii="Times New Roman" w:hAnsi="Times New Roman" w:cs="Times New Roman"/>
          <w:sz w:val="24"/>
          <w:szCs w:val="24"/>
        </w:rPr>
        <w:t xml:space="preserve">лекційних і </w:t>
      </w:r>
      <w:r w:rsidRPr="003A40B7">
        <w:rPr>
          <w:rFonts w:ascii="Times New Roman" w:hAnsi="Times New Roman" w:cs="Times New Roman"/>
          <w:sz w:val="24"/>
          <w:szCs w:val="24"/>
        </w:rPr>
        <w:t>практичних занять та консультацій.</w:t>
      </w:r>
      <w:r w:rsidRPr="003A4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8376C" w:rsidRPr="003A40B7" w:rsidRDefault="0018376C" w:rsidP="0018376C">
      <w:pPr>
        <w:tabs>
          <w:tab w:val="left" w:pos="851"/>
          <w:tab w:val="left" w:pos="1260"/>
        </w:tabs>
        <w:spacing w:line="240" w:lineRule="auto"/>
        <w:ind w:right="-7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76C" w:rsidRDefault="0018376C" w:rsidP="0018376C">
      <w:pPr>
        <w:tabs>
          <w:tab w:val="left" w:pos="1260"/>
        </w:tabs>
        <w:spacing w:line="240" w:lineRule="auto"/>
        <w:ind w:right="-7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Результати навчання. </w:t>
      </w:r>
    </w:p>
    <w:p w:rsidR="0018376C" w:rsidRDefault="0018376C" w:rsidP="001837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399">
        <w:rPr>
          <w:rFonts w:ascii="Times New Roman" w:hAnsi="Times New Roman" w:cs="Times New Roman"/>
          <w:sz w:val="24"/>
          <w:szCs w:val="24"/>
        </w:rPr>
        <w:t xml:space="preserve">Згідно з вимогами освітньо-професійної програми студенти повинні </w:t>
      </w:r>
      <w:r w:rsidRPr="00645399">
        <w:rPr>
          <w:rFonts w:ascii="Times New Roman" w:hAnsi="Times New Roman" w:cs="Times New Roman"/>
          <w:b/>
          <w:sz w:val="24"/>
          <w:szCs w:val="24"/>
        </w:rPr>
        <w:t>знати:</w:t>
      </w:r>
      <w:r w:rsidRPr="00645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B6E" w:rsidRPr="00DA2B6E" w:rsidRDefault="00DA2B6E" w:rsidP="00DA2B6E">
      <w:pPr>
        <w:widowControl w:val="0"/>
        <w:numPr>
          <w:ilvl w:val="0"/>
          <w:numId w:val="7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i/>
          <w:sz w:val="24"/>
        </w:rPr>
      </w:pPr>
      <w:r w:rsidRPr="00DA2B6E">
        <w:rPr>
          <w:rFonts w:ascii="Times New Roman" w:hAnsi="Times New Roman" w:cs="Times New Roman"/>
          <w:sz w:val="24"/>
        </w:rPr>
        <w:t xml:space="preserve">зміст базових понять і категорій: </w:t>
      </w:r>
      <w:r w:rsidRPr="00DA2B6E">
        <w:rPr>
          <w:rFonts w:ascii="Times New Roman" w:hAnsi="Times New Roman" w:cs="Times New Roman"/>
          <w:i/>
          <w:sz w:val="24"/>
        </w:rPr>
        <w:t>декларація, інтеграція, конвенція, соціальна освіта, соціальна служба, тенденції міжнародного розвитку, хартія.</w:t>
      </w:r>
    </w:p>
    <w:p w:rsidR="00DA2B6E" w:rsidRPr="00DA2B6E" w:rsidRDefault="00DA2B6E" w:rsidP="00DA2B6E">
      <w:pPr>
        <w:widowControl w:val="0"/>
        <w:numPr>
          <w:ilvl w:val="0"/>
          <w:numId w:val="7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A2B6E">
        <w:rPr>
          <w:rFonts w:ascii="Times New Roman" w:hAnsi="Times New Roman" w:cs="Times New Roman"/>
          <w:sz w:val="24"/>
        </w:rPr>
        <w:t xml:space="preserve">завдання та принципи функціонування міжнародних і національних соціальних служб; </w:t>
      </w:r>
    </w:p>
    <w:p w:rsidR="00DA2B6E" w:rsidRPr="00DA2B6E" w:rsidRDefault="00DA2B6E" w:rsidP="00DA2B6E">
      <w:pPr>
        <w:widowControl w:val="0"/>
        <w:numPr>
          <w:ilvl w:val="0"/>
          <w:numId w:val="7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A2B6E">
        <w:rPr>
          <w:rFonts w:ascii="Times New Roman" w:hAnsi="Times New Roman" w:cs="Times New Roman"/>
          <w:sz w:val="24"/>
        </w:rPr>
        <w:t xml:space="preserve">функціонально-змістову модель роботи міжнародних соціальних служб; </w:t>
      </w:r>
    </w:p>
    <w:p w:rsidR="00DA2B6E" w:rsidRPr="00DA2B6E" w:rsidRDefault="00DA2B6E" w:rsidP="00DA2B6E">
      <w:pPr>
        <w:widowControl w:val="0"/>
        <w:numPr>
          <w:ilvl w:val="0"/>
          <w:numId w:val="7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A2B6E">
        <w:rPr>
          <w:rFonts w:ascii="Times New Roman" w:hAnsi="Times New Roman" w:cs="Times New Roman"/>
          <w:sz w:val="24"/>
        </w:rPr>
        <w:t xml:space="preserve">технології, форми і методи роботи соціальних служб різних рівнів; </w:t>
      </w:r>
    </w:p>
    <w:p w:rsidR="00DA2B6E" w:rsidRPr="00DA2B6E" w:rsidRDefault="00DA2B6E" w:rsidP="00DA2B6E">
      <w:pPr>
        <w:widowControl w:val="0"/>
        <w:numPr>
          <w:ilvl w:val="0"/>
          <w:numId w:val="7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A2B6E">
        <w:rPr>
          <w:rFonts w:ascii="Times New Roman" w:hAnsi="Times New Roman" w:cs="Times New Roman"/>
          <w:sz w:val="24"/>
        </w:rPr>
        <w:t xml:space="preserve">основні напрями роботи міжнародних і національних соціальних служб; </w:t>
      </w:r>
    </w:p>
    <w:p w:rsidR="00DA2B6E" w:rsidRPr="00DA2B6E" w:rsidRDefault="00DA2B6E" w:rsidP="00DA2B6E">
      <w:pPr>
        <w:widowControl w:val="0"/>
        <w:numPr>
          <w:ilvl w:val="0"/>
          <w:numId w:val="7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A2B6E">
        <w:rPr>
          <w:rFonts w:ascii="Times New Roman" w:hAnsi="Times New Roman" w:cs="Times New Roman"/>
          <w:sz w:val="24"/>
        </w:rPr>
        <w:t xml:space="preserve">особливості використання інтегрованого підходу надання соціальних послуг в умовах різних країн; </w:t>
      </w:r>
    </w:p>
    <w:p w:rsidR="00DA2B6E" w:rsidRPr="00DA2B6E" w:rsidRDefault="00DA2B6E" w:rsidP="00DA2B6E">
      <w:pPr>
        <w:widowControl w:val="0"/>
        <w:numPr>
          <w:ilvl w:val="0"/>
          <w:numId w:val="7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A2B6E">
        <w:rPr>
          <w:rFonts w:ascii="Times New Roman" w:hAnsi="Times New Roman" w:cs="Times New Roman"/>
          <w:sz w:val="24"/>
        </w:rPr>
        <w:t xml:space="preserve">нормативно-правову базу роботи  міжнародних і національних соціальних служб та їх представників. </w:t>
      </w:r>
    </w:p>
    <w:p w:rsidR="0018376C" w:rsidRDefault="0018376C" w:rsidP="0018376C">
      <w:pPr>
        <w:tabs>
          <w:tab w:val="left" w:pos="1134"/>
        </w:tabs>
        <w:autoSpaceDN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645399">
        <w:rPr>
          <w:rFonts w:ascii="Times New Roman" w:hAnsi="Times New Roman" w:cs="Times New Roman"/>
          <w:b/>
          <w:sz w:val="24"/>
          <w:szCs w:val="24"/>
        </w:rPr>
        <w:t>міти:</w:t>
      </w:r>
      <w:r w:rsidRPr="00645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10E" w:rsidRPr="00DB110E" w:rsidRDefault="00DB110E" w:rsidP="00DB110E">
      <w:pPr>
        <w:numPr>
          <w:ilvl w:val="0"/>
          <w:numId w:val="8"/>
        </w:numPr>
        <w:tabs>
          <w:tab w:val="left" w:pos="851"/>
          <w:tab w:val="left" w:pos="370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B110E">
        <w:rPr>
          <w:rFonts w:ascii="Times New Roman" w:hAnsi="Times New Roman" w:cs="Times New Roman"/>
          <w:sz w:val="24"/>
        </w:rPr>
        <w:t xml:space="preserve">робити науковий аналіз системи служб соціальної роботи в Україні; </w:t>
      </w:r>
    </w:p>
    <w:p w:rsidR="00DB110E" w:rsidRPr="00DB110E" w:rsidRDefault="00DB110E" w:rsidP="00DB110E">
      <w:pPr>
        <w:numPr>
          <w:ilvl w:val="0"/>
          <w:numId w:val="8"/>
        </w:numPr>
        <w:tabs>
          <w:tab w:val="left" w:pos="851"/>
          <w:tab w:val="left" w:pos="370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B110E">
        <w:rPr>
          <w:rFonts w:ascii="Times New Roman" w:hAnsi="Times New Roman" w:cs="Times New Roman"/>
          <w:sz w:val="24"/>
        </w:rPr>
        <w:t>визначати напрями діяльності міжнародних організацій, що сприяють розвитку соціальної сфери різних країн;</w:t>
      </w:r>
    </w:p>
    <w:p w:rsidR="00DB110E" w:rsidRPr="00DB110E" w:rsidRDefault="00DB110E" w:rsidP="00DB110E">
      <w:pPr>
        <w:numPr>
          <w:ilvl w:val="0"/>
          <w:numId w:val="8"/>
        </w:numPr>
        <w:tabs>
          <w:tab w:val="left" w:pos="851"/>
          <w:tab w:val="left" w:pos="370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B110E">
        <w:rPr>
          <w:rFonts w:ascii="Times New Roman" w:hAnsi="Times New Roman" w:cs="Times New Roman"/>
          <w:sz w:val="24"/>
        </w:rPr>
        <w:t xml:space="preserve">визначати рівень ефективності діяльності національних соціальних служб, робити відповідні висновки; </w:t>
      </w:r>
    </w:p>
    <w:p w:rsidR="00DB110E" w:rsidRPr="00DB110E" w:rsidRDefault="00DB110E" w:rsidP="00DB110E">
      <w:pPr>
        <w:numPr>
          <w:ilvl w:val="0"/>
          <w:numId w:val="8"/>
        </w:numPr>
        <w:tabs>
          <w:tab w:val="left" w:pos="851"/>
          <w:tab w:val="left" w:pos="370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B110E">
        <w:rPr>
          <w:rFonts w:ascii="Times New Roman" w:hAnsi="Times New Roman" w:cs="Times New Roman"/>
          <w:sz w:val="24"/>
        </w:rPr>
        <w:t>застосовувати набуті знання для організації діяльності в соціальних службах.</w:t>
      </w:r>
    </w:p>
    <w:p w:rsidR="0018376C" w:rsidRPr="00024BE0" w:rsidRDefault="0018376C" w:rsidP="0018376C">
      <w:pPr>
        <w:autoSpaceDE w:val="0"/>
        <w:autoSpaceDN w:val="0"/>
        <w:adjustRightInd w:val="0"/>
        <w:ind w:left="93" w:right="140" w:firstLine="615"/>
        <w:jc w:val="both"/>
        <w:rPr>
          <w:rFonts w:ascii="Times New Roman" w:hAnsi="Times New Roman" w:cs="Times New Roman"/>
          <w:sz w:val="24"/>
          <w:szCs w:val="24"/>
        </w:rPr>
      </w:pPr>
    </w:p>
    <w:p w:rsidR="0018376C" w:rsidRDefault="0018376C" w:rsidP="007A1536">
      <w:pPr>
        <w:autoSpaceDE w:val="0"/>
        <w:autoSpaceDN w:val="0"/>
        <w:adjustRightInd w:val="0"/>
        <w:ind w:left="93" w:right="140" w:firstLine="615"/>
        <w:jc w:val="both"/>
      </w:pPr>
      <w:r w:rsidRPr="003E2115">
        <w:rPr>
          <w:rFonts w:ascii="Times New Roman" w:hAnsi="Times New Roman" w:cs="Times New Roman"/>
          <w:sz w:val="24"/>
          <w:szCs w:val="24"/>
        </w:rPr>
        <w:t xml:space="preserve">Згідно з вимогами освітньо-професійної програми студенти повинні досягти таких </w:t>
      </w:r>
      <w:proofErr w:type="spellStart"/>
      <w:r w:rsidRPr="003E2115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3E2115">
        <w:rPr>
          <w:rFonts w:ascii="Times New Roman" w:hAnsi="Times New Roman" w:cs="Times New Roman"/>
          <w:b/>
          <w:sz w:val="24"/>
          <w:szCs w:val="24"/>
        </w:rPr>
        <w:t>:</w:t>
      </w:r>
      <w:r w:rsidRPr="003E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115">
        <w:rPr>
          <w:rFonts w:ascii="Times New Roman" w:hAnsi="Times New Roman" w:cs="Times New Roman"/>
          <w:b/>
          <w:i/>
          <w:sz w:val="24"/>
          <w:szCs w:val="24"/>
        </w:rPr>
        <w:t>загальнонавчальна</w:t>
      </w:r>
      <w:proofErr w:type="spellEnd"/>
      <w:r w:rsidRPr="003E2115">
        <w:rPr>
          <w:rFonts w:ascii="Times New Roman" w:hAnsi="Times New Roman" w:cs="Times New Roman"/>
          <w:sz w:val="24"/>
          <w:szCs w:val="24"/>
        </w:rPr>
        <w:t xml:space="preserve"> – здатність до ефективної самоорганізації власної професійної діяльності; здатність до використання </w:t>
      </w:r>
      <w:r>
        <w:rPr>
          <w:rFonts w:ascii="Times New Roman" w:hAnsi="Times New Roman" w:cs="Times New Roman"/>
          <w:sz w:val="24"/>
          <w:szCs w:val="24"/>
        </w:rPr>
        <w:t>управлінських технологій</w:t>
      </w:r>
      <w:r w:rsidRPr="003E2115">
        <w:rPr>
          <w:rFonts w:ascii="Times New Roman" w:hAnsi="Times New Roman" w:cs="Times New Roman"/>
          <w:sz w:val="24"/>
          <w:szCs w:val="24"/>
        </w:rPr>
        <w:t xml:space="preserve"> у професійній діяльності; здатність до використання сучасних інформаційних технологій та програмних засобів при роботі в комп'ютерних мережах та використанні </w:t>
      </w:r>
      <w:proofErr w:type="spellStart"/>
      <w:r w:rsidRPr="003E2115">
        <w:rPr>
          <w:rFonts w:ascii="Times New Roman" w:hAnsi="Times New Roman" w:cs="Times New Roman"/>
          <w:sz w:val="24"/>
          <w:szCs w:val="24"/>
        </w:rPr>
        <w:t>Інтернет-ресурсів</w:t>
      </w:r>
      <w:proofErr w:type="spellEnd"/>
      <w:r w:rsidRPr="003E2115">
        <w:rPr>
          <w:rFonts w:ascii="Times New Roman" w:hAnsi="Times New Roman" w:cs="Times New Roman"/>
          <w:sz w:val="24"/>
          <w:szCs w:val="24"/>
        </w:rPr>
        <w:t xml:space="preserve">; </w:t>
      </w:r>
      <w:r w:rsidRPr="003E2115">
        <w:rPr>
          <w:rFonts w:ascii="Times New Roman" w:hAnsi="Times New Roman" w:cs="Times New Roman"/>
          <w:b/>
          <w:i/>
          <w:sz w:val="24"/>
          <w:szCs w:val="24"/>
        </w:rPr>
        <w:t>інтегральна</w:t>
      </w:r>
      <w:r w:rsidRPr="003E2115">
        <w:rPr>
          <w:rFonts w:ascii="Times New Roman" w:hAnsi="Times New Roman" w:cs="Times New Roman"/>
          <w:sz w:val="24"/>
          <w:szCs w:val="24"/>
        </w:rPr>
        <w:t xml:space="preserve"> – здатність розв’язувати складні соціальні завдання і </w:t>
      </w:r>
      <w:r w:rsidRPr="003E2115">
        <w:rPr>
          <w:rFonts w:ascii="Times New Roman" w:hAnsi="Times New Roman" w:cs="Times New Roman"/>
          <w:sz w:val="24"/>
          <w:szCs w:val="24"/>
        </w:rPr>
        <w:lastRenderedPageBreak/>
        <w:t xml:space="preserve">соціально-педагогічні проблеми; </w:t>
      </w:r>
      <w:r w:rsidRPr="003E2115">
        <w:rPr>
          <w:rFonts w:ascii="Times New Roman" w:hAnsi="Times New Roman" w:cs="Times New Roman"/>
          <w:b/>
          <w:i/>
          <w:sz w:val="24"/>
          <w:szCs w:val="24"/>
        </w:rPr>
        <w:t>спеціальна предметна</w:t>
      </w:r>
      <w:r w:rsidRPr="003E2115">
        <w:rPr>
          <w:rFonts w:ascii="Times New Roman" w:hAnsi="Times New Roman" w:cs="Times New Roman"/>
          <w:sz w:val="24"/>
          <w:szCs w:val="24"/>
        </w:rPr>
        <w:t xml:space="preserve"> – </w:t>
      </w:r>
      <w:r w:rsidR="007A1536">
        <w:rPr>
          <w:rFonts w:ascii="Times New Roman" w:hAnsi="Times New Roman" w:cs="Times New Roman"/>
          <w:sz w:val="24"/>
          <w:szCs w:val="24"/>
        </w:rPr>
        <w:t>зда</w:t>
      </w:r>
      <w:r w:rsidR="007A1536" w:rsidRPr="007A1536">
        <w:rPr>
          <w:rFonts w:ascii="Times New Roman" w:hAnsi="Times New Roman" w:cs="Times New Roman"/>
          <w:sz w:val="24"/>
          <w:szCs w:val="24"/>
        </w:rPr>
        <w:t>тність спілкуватися з представниками інших професійних груп різного рівня, налагоджувати взаємодію державних, громадських і комерційних організацій на підґрунті</w:t>
      </w:r>
      <w:r w:rsidR="007A1536">
        <w:rPr>
          <w:rFonts w:ascii="Times New Roman" w:hAnsi="Times New Roman" w:cs="Times New Roman"/>
          <w:sz w:val="24"/>
          <w:szCs w:val="24"/>
        </w:rPr>
        <w:t xml:space="preserve"> соціального партнерства.</w:t>
      </w:r>
    </w:p>
    <w:p w:rsidR="0018376C" w:rsidRDefault="0018376C" w:rsidP="0018376C">
      <w:pPr>
        <w:spacing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>5.   Обсяг курсу</w:t>
      </w:r>
    </w:p>
    <w:p w:rsidR="0018376C" w:rsidRPr="003A40B7" w:rsidRDefault="0018376C" w:rsidP="0018376C">
      <w:pPr>
        <w:spacing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32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0"/>
        <w:gridCol w:w="8782"/>
      </w:tblGrid>
      <w:tr w:rsidR="0018376C" w:rsidRPr="003A40B7" w:rsidTr="002627AE">
        <w:trPr>
          <w:trHeight w:val="25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76C" w:rsidRPr="003A40B7" w:rsidRDefault="0018376C" w:rsidP="002627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заняття</w:t>
            </w:r>
          </w:p>
        </w:tc>
        <w:tc>
          <w:tcPr>
            <w:tcW w:w="8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76C" w:rsidRPr="003A40B7" w:rsidRDefault="009A11C6" w:rsidP="002627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 кількі</w:t>
            </w:r>
            <w:r w:rsidR="0018376C"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сть годин</w:t>
            </w:r>
          </w:p>
        </w:tc>
      </w:tr>
      <w:tr w:rsidR="0018376C" w:rsidRPr="003A40B7" w:rsidTr="002627AE">
        <w:trPr>
          <w:trHeight w:val="222"/>
        </w:trPr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8376C" w:rsidP="002627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87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54387" w:rsidP="002627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376C" w:rsidRPr="003A40B7" w:rsidTr="002627AE">
        <w:trPr>
          <w:trHeight w:val="208"/>
        </w:trPr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8376C" w:rsidP="002627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заняття </w:t>
            </w:r>
          </w:p>
        </w:tc>
        <w:tc>
          <w:tcPr>
            <w:tcW w:w="87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54387" w:rsidP="002627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8376C" w:rsidRPr="003A40B7" w:rsidTr="002627AE">
        <w:trPr>
          <w:trHeight w:val="286"/>
        </w:trPr>
        <w:tc>
          <w:tcPr>
            <w:tcW w:w="5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8376C" w:rsidP="002627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8782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54387" w:rsidP="002627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8376C" w:rsidRPr="003A40B7" w:rsidTr="002627AE">
        <w:trPr>
          <w:trHeight w:val="286"/>
        </w:trPr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54387" w:rsidP="002627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87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54387" w:rsidP="002627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8376C" w:rsidRDefault="0018376C" w:rsidP="0018376C">
      <w:pPr>
        <w:spacing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376C" w:rsidRDefault="0018376C" w:rsidP="0018376C">
      <w:pPr>
        <w:spacing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376C" w:rsidRDefault="0018376C" w:rsidP="0018376C">
      <w:pPr>
        <w:spacing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>. Ознаки курсу:</w:t>
      </w:r>
    </w:p>
    <w:p w:rsidR="0018376C" w:rsidRPr="003A40B7" w:rsidRDefault="0018376C" w:rsidP="0018376C">
      <w:pPr>
        <w:spacing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32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480"/>
        <w:gridCol w:w="1515"/>
        <w:gridCol w:w="2640"/>
        <w:gridCol w:w="2445"/>
        <w:gridCol w:w="4552"/>
      </w:tblGrid>
      <w:tr w:rsidR="0018376C" w:rsidRPr="003A40B7" w:rsidTr="002627AE">
        <w:trPr>
          <w:trHeight w:val="534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викладання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2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(рік навчання)</w:t>
            </w:r>
          </w:p>
        </w:tc>
        <w:tc>
          <w:tcPr>
            <w:tcW w:w="4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Нормативний /</w:t>
            </w:r>
          </w:p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вибірковий</w:t>
            </w:r>
          </w:p>
        </w:tc>
      </w:tr>
      <w:tr w:rsidR="0018376C" w:rsidRPr="003A40B7" w:rsidTr="002627AE">
        <w:trPr>
          <w:trHeight w:val="395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B57A0F" w:rsidRDefault="00B57A0F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proofErr w:type="spellEnd"/>
            <w:r w:rsidR="0018376C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B57A0F" w:rsidRDefault="00B57A0F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8376C" w:rsidP="00262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 Соціальна робота</w:t>
            </w:r>
          </w:p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 </w:t>
            </w:r>
          </w:p>
        </w:tc>
      </w:tr>
    </w:tbl>
    <w:p w:rsidR="0018376C" w:rsidRPr="00371958" w:rsidRDefault="0018376C" w:rsidP="0018376C">
      <w:pPr>
        <w:spacing w:line="240" w:lineRule="auto"/>
        <w:ind w:right="-7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Пререквізити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692643">
        <w:rPr>
          <w:rFonts w:ascii="Times New Roman" w:eastAsia="Times New Roman" w:hAnsi="Times New Roman" w:cs="Times New Roman"/>
          <w:sz w:val="24"/>
          <w:szCs w:val="24"/>
        </w:rPr>
        <w:t>дисципліни, які мають бути вивчені раніше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0E6F" w:rsidRPr="00E30E6F">
        <w:rPr>
          <w:rFonts w:ascii="Times New Roman" w:hAnsi="Times New Roman" w:cs="Times New Roman"/>
          <w:sz w:val="24"/>
          <w:lang w:eastAsia="ar-SA"/>
        </w:rPr>
        <w:t xml:space="preserve">«Соціальна робота», «Теорія </w:t>
      </w:r>
      <w:r w:rsidR="00E30E6F">
        <w:rPr>
          <w:rFonts w:ascii="Times New Roman" w:hAnsi="Times New Roman" w:cs="Times New Roman"/>
          <w:sz w:val="24"/>
          <w:lang w:eastAsia="ar-SA"/>
        </w:rPr>
        <w:t>та історія соціальної роботи»,</w:t>
      </w:r>
      <w:r w:rsidR="00E30E6F" w:rsidRPr="00E30E6F">
        <w:rPr>
          <w:rFonts w:ascii="Times New Roman" w:hAnsi="Times New Roman" w:cs="Times New Roman"/>
          <w:sz w:val="24"/>
          <w:lang w:eastAsia="ar-SA"/>
        </w:rPr>
        <w:t xml:space="preserve"> «</w:t>
      </w:r>
      <w:r w:rsidR="00E30E6F">
        <w:rPr>
          <w:rFonts w:ascii="Times New Roman" w:hAnsi="Times New Roman" w:cs="Times New Roman"/>
          <w:sz w:val="24"/>
          <w:lang w:eastAsia="ar-SA"/>
        </w:rPr>
        <w:t>Управління спеціалізованими соціальними службами</w:t>
      </w:r>
      <w:r w:rsidR="00E30E6F" w:rsidRPr="00E30E6F">
        <w:rPr>
          <w:rFonts w:ascii="Times New Roman" w:hAnsi="Times New Roman" w:cs="Times New Roman"/>
          <w:sz w:val="24"/>
          <w:lang w:eastAsia="ar-SA"/>
        </w:rPr>
        <w:t>»</w:t>
      </w:r>
      <w:r w:rsidR="00E30E6F" w:rsidRPr="00E30E6F">
        <w:rPr>
          <w:rFonts w:ascii="Times New Roman" w:hAnsi="Times New Roman" w:cs="Times New Roman"/>
          <w:sz w:val="24"/>
        </w:rPr>
        <w:t>.</w:t>
      </w:r>
    </w:p>
    <w:p w:rsidR="0018376C" w:rsidRPr="00692643" w:rsidRDefault="0018376C" w:rsidP="0018376C">
      <w:pPr>
        <w:spacing w:line="240" w:lineRule="auto"/>
        <w:ind w:right="-784"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8376C" w:rsidRDefault="0018376C" w:rsidP="0018376C">
      <w:pPr>
        <w:spacing w:line="240" w:lineRule="auto"/>
        <w:ind w:right="-784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>8. 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хнічне й програмне забезпечення</w:t>
      </w: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>/обладнання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0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Вивчення курсу потребує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технічних засобів для показу презентацій </w:t>
      </w:r>
      <w:r w:rsidR="00514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відеоматеріалів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(комп’ютер/ноутбук, проектор).</w:t>
      </w:r>
    </w:p>
    <w:p w:rsidR="0018376C" w:rsidRPr="00D63A54" w:rsidRDefault="0018376C" w:rsidP="0018376C">
      <w:pPr>
        <w:spacing w:line="240" w:lineRule="auto"/>
        <w:ind w:right="-784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376C" w:rsidRPr="003A40B7" w:rsidRDefault="0018376C" w:rsidP="0018376C">
      <w:pPr>
        <w:spacing w:line="240" w:lineRule="auto"/>
        <w:ind w:right="-7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 xml:space="preserve">9. Політика курсу. </w:t>
      </w:r>
      <w:r w:rsidRPr="003A4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376C" w:rsidRDefault="0018376C" w:rsidP="0018376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479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Письмові </w:t>
      </w:r>
      <w:r w:rsidRPr="006D19E7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роботи</w:t>
      </w:r>
      <w:r w:rsidR="006D1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Стислий конспект лекцій. Тести.</w:t>
      </w:r>
      <w:r w:rsidR="006D19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Каталог міжнародних і національних соціальних служб.</w:t>
      </w:r>
    </w:p>
    <w:p w:rsidR="0018376C" w:rsidRPr="00A158A2" w:rsidRDefault="0018376C" w:rsidP="0018376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73D4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Усні завдання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Усні відповіді на теоретичні питання, дискусії з приводу практичних ситуацій</w:t>
      </w:r>
      <w:r w:rsidR="0051471C">
        <w:rPr>
          <w:rFonts w:ascii="Times New Roman" w:eastAsia="Times New Roman" w:hAnsi="Times New Roman" w:cs="Times New Roman"/>
          <w:sz w:val="24"/>
          <w:szCs w:val="24"/>
          <w:lang w:eastAsia="uk-UA"/>
        </w:rPr>
        <w:t>, доповіді.</w:t>
      </w:r>
    </w:p>
    <w:p w:rsidR="0018376C" w:rsidRPr="00CD0479" w:rsidRDefault="0018376C" w:rsidP="0018376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479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lastRenderedPageBreak/>
        <w:t>Академічна доброчесність.</w:t>
      </w:r>
      <w:r w:rsidRPr="00CD04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Очікується, що роботи студентів будуть їх оригінальними дослідженнями чи міркуваннями. Відсутність посилань на використані джерела, фабрикування джерел списування, втручання в роботу інших студентів становлять, але не обмежують приклади можливої академічної </w:t>
      </w:r>
      <w:proofErr w:type="spellStart"/>
      <w:r w:rsidRPr="00CD0479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недоброчесності</w:t>
      </w:r>
      <w:proofErr w:type="spellEnd"/>
      <w:r w:rsidRPr="00CD04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Виявлення ознак академічної </w:t>
      </w:r>
      <w:proofErr w:type="spellStart"/>
      <w:r w:rsidRPr="00CD0479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недоброчесності</w:t>
      </w:r>
      <w:proofErr w:type="spellEnd"/>
      <w:r w:rsidRPr="00CD04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письмовій роботі студента є підставою для її </w:t>
      </w:r>
      <w:proofErr w:type="spellStart"/>
      <w:r w:rsidRPr="00CD0479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незарахування</w:t>
      </w:r>
      <w:proofErr w:type="spellEnd"/>
      <w:r w:rsidRPr="00CD04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викладачем, незалежно від масштабів плагіату чи обману.</w:t>
      </w:r>
    </w:p>
    <w:p w:rsidR="0018376C" w:rsidRDefault="0018376C" w:rsidP="0018376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0479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Відвідання занять.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Pr="00CD04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Очікується, що всі студенти відвідають усі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лекційні та </w:t>
      </w:r>
      <w:r w:rsidRPr="00CD047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практичні заняття курсу. Студенти мають інформувати викладача про неможливість відвідати заняття. У будь-якому випадку студенти зобов’язані дотримуватися термінів виконання усіх видів робіт, передбачених курсом.</w:t>
      </w:r>
    </w:p>
    <w:p w:rsidR="0018376C" w:rsidRPr="00CD0479" w:rsidRDefault="0018376C" w:rsidP="0018376C">
      <w:pPr>
        <w:shd w:val="clear" w:color="auto" w:fill="FFFFFF"/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376C" w:rsidRPr="003A40B7" w:rsidRDefault="0018376C" w:rsidP="001837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 xml:space="preserve">10. Схема курсу </w:t>
      </w:r>
      <w:r w:rsidRPr="003A4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3887" w:type="dxa"/>
        <w:tblLook w:val="04A0"/>
      </w:tblPr>
      <w:tblGrid>
        <w:gridCol w:w="804"/>
        <w:gridCol w:w="6885"/>
        <w:gridCol w:w="6198"/>
      </w:tblGrid>
      <w:tr w:rsidR="0018376C" w:rsidRPr="003A40B7" w:rsidTr="004D52F9">
        <w:tc>
          <w:tcPr>
            <w:tcW w:w="804" w:type="dxa"/>
            <w:shd w:val="clear" w:color="auto" w:fill="99CCFF"/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85" w:type="dxa"/>
            <w:shd w:val="clear" w:color="auto" w:fill="99CCFF"/>
          </w:tcPr>
          <w:p w:rsidR="0018376C" w:rsidRPr="003A40B7" w:rsidRDefault="0018376C" w:rsidP="00855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85503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практичних занять</w:t>
            </w:r>
          </w:p>
        </w:tc>
        <w:tc>
          <w:tcPr>
            <w:tcW w:w="6198" w:type="dxa"/>
            <w:shd w:val="clear" w:color="auto" w:fill="99CCFF"/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 </w:t>
            </w:r>
            <w:proofErr w:type="spellStart"/>
            <w:r w:rsidRPr="003A40B7">
              <w:rPr>
                <w:rFonts w:ascii="Times New Roman" w:hAnsi="Times New Roman" w:cs="Times New Roman"/>
                <w:sz w:val="24"/>
                <w:szCs w:val="24"/>
              </w:rPr>
              <w:t>навчально-</w:t>
            </w:r>
            <w:proofErr w:type="spellEnd"/>
            <w:r w:rsidRPr="003A40B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методичного комплексу</w:t>
            </w:r>
          </w:p>
        </w:tc>
      </w:tr>
      <w:tr w:rsidR="004D52F9" w:rsidRPr="00E37F42" w:rsidTr="004D52F9">
        <w:trPr>
          <w:trHeight w:val="630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Сучасний стан та перспективи розвитку системи міжнародних організацій з  соціальної роботи</w:t>
            </w:r>
          </w:p>
        </w:tc>
        <w:tc>
          <w:tcPr>
            <w:tcW w:w="6198" w:type="dxa"/>
            <w:vMerge w:val="restart"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F9" w:rsidRPr="00E37F42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Скорочений лекційний матеріал, р</w:t>
            </w:r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екомендована література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практичних занять</w:t>
            </w:r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плани практичних занять, методичні вказівки і рекомендована література, письмові завдання до планів практичних занять, мультимедійні презентації, тематика індивідуальних завдань, запитання для підсумкового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нтролю, тестові завдання </w:t>
            </w:r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розміщені в СЕЗН  </w:t>
            </w:r>
            <w:proofErr w:type="spellStart"/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посиланням: </w:t>
            </w:r>
            <w:hyperlink r:id="rId7" w:anchor="section-1" w:history="1">
              <w:r w:rsidRPr="00E37F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https://moodle.znu.edu.ua/course/view.php?id=7971#section-1</w:t>
              </w:r>
            </w:hyperlink>
          </w:p>
          <w:p w:rsidR="004D52F9" w:rsidRPr="00E37F42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F9" w:rsidRPr="00E37F42" w:rsidRDefault="004D52F9" w:rsidP="0026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9" w:rsidRPr="00E37F42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315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sz w:val="24"/>
                <w:lang w:eastAsia="ar-SA"/>
              </w:rPr>
              <w:t>Міжнародні організації, які впливають на інтернаціональну соціальну роботу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Європейські організації, які впливають на інтернаціональну соціальну роботу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135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Сучасний стан та перспективи розвитку системи національних соціальних служб в Україні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180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Інституційні основи соціальної роботи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307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Сучасна мережа і організаційно-правові засади державних та недержавних служб у соціальній сфері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150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6F5C6F" w:rsidP="002627AE">
            <w:pPr>
              <w:suppressAutoHyphens/>
              <w:ind w:left="-57" w:right="-57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6F5C6F">
              <w:rPr>
                <w:rFonts w:ascii="Times New Roman" w:hAnsi="Times New Roman" w:cs="Times New Roman"/>
                <w:bCs/>
                <w:sz w:val="24"/>
                <w:lang w:eastAsia="ar-SA"/>
              </w:rPr>
              <w:t>Становлення та розвиток системи соціальних служб в Україні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165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6F5C6F" w:rsidP="006F5C6F">
            <w:pPr>
              <w:suppressAutoHyphens/>
              <w:ind w:left="-57" w:right="-57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6F5C6F">
              <w:rPr>
                <w:rFonts w:ascii="Times New Roman" w:hAnsi="Times New Roman" w:cs="Times New Roman"/>
                <w:sz w:val="24"/>
                <w:lang w:eastAsia="ar-SA"/>
              </w:rPr>
              <w:t xml:space="preserve">Державна соціальна служба України. 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5E242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5E2429">
              <w:rPr>
                <w:rFonts w:ascii="Times New Roman" w:hAnsi="Times New Roman" w:cs="Times New Roman"/>
                <w:bCs/>
                <w:sz w:val="24"/>
                <w:lang w:eastAsia="ar-SA"/>
              </w:rPr>
              <w:t>Недержавні організації у системі соціальних служб України.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150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5E242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5E2429">
              <w:rPr>
                <w:rFonts w:ascii="Times New Roman" w:hAnsi="Times New Roman" w:cs="Times New Roman"/>
                <w:bCs/>
                <w:sz w:val="24"/>
                <w:lang w:eastAsia="ar-SA"/>
              </w:rPr>
              <w:t>Європейські міжнародні стандарти в галузі соціального захисту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150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5E242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5E2429">
              <w:rPr>
                <w:rFonts w:ascii="Times New Roman" w:hAnsi="Times New Roman" w:cs="Times New Roman"/>
                <w:bCs/>
                <w:sz w:val="24"/>
                <w:lang w:eastAsia="ar-SA"/>
              </w:rPr>
              <w:t>Законодавче забезпечення права на отримання послуг від соціальних служб.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150"/>
        </w:trPr>
        <w:tc>
          <w:tcPr>
            <w:tcW w:w="804" w:type="dxa"/>
            <w:shd w:val="clear" w:color="auto" w:fill="EEECE1" w:themeFill="background2"/>
          </w:tcPr>
          <w:p w:rsidR="004D52F9" w:rsidRPr="00E37F42" w:rsidRDefault="004D52F9" w:rsidP="0018376C">
            <w:pPr>
              <w:pStyle w:val="a3"/>
              <w:numPr>
                <w:ilvl w:val="0"/>
                <w:numId w:val="2"/>
              </w:numPr>
              <w:ind w:left="-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  <w:shd w:val="clear" w:color="auto" w:fill="EEECE1" w:themeFill="background2"/>
          </w:tcPr>
          <w:p w:rsidR="004D52F9" w:rsidRPr="004D52F9" w:rsidRDefault="005E242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5E2429">
              <w:rPr>
                <w:rFonts w:ascii="Times New Roman" w:hAnsi="Times New Roman" w:cs="Times New Roman"/>
                <w:bCs/>
                <w:sz w:val="24"/>
                <w:lang w:eastAsia="ar-SA"/>
              </w:rPr>
              <w:t>Поняття, зміст і організація роботи інтегрованих соціальних служб.</w:t>
            </w:r>
          </w:p>
        </w:tc>
        <w:tc>
          <w:tcPr>
            <w:tcW w:w="6198" w:type="dxa"/>
            <w:vMerge/>
            <w:shd w:val="clear" w:color="auto" w:fill="FFFFCC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52F9" w:rsidRDefault="004D52F9">
      <w:r>
        <w:br w:type="page"/>
      </w:r>
    </w:p>
    <w:tbl>
      <w:tblPr>
        <w:tblStyle w:val="a5"/>
        <w:tblW w:w="13887" w:type="dxa"/>
        <w:tblLook w:val="04A0"/>
      </w:tblPr>
      <w:tblGrid>
        <w:gridCol w:w="804"/>
        <w:gridCol w:w="6885"/>
        <w:gridCol w:w="6198"/>
      </w:tblGrid>
      <w:tr w:rsidR="0018376C" w:rsidRPr="003A40B7" w:rsidTr="004D52F9">
        <w:tc>
          <w:tcPr>
            <w:tcW w:w="804" w:type="dxa"/>
          </w:tcPr>
          <w:p w:rsidR="0018376C" w:rsidRPr="003A40B7" w:rsidRDefault="0018376C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6885" w:type="dxa"/>
          </w:tcPr>
          <w:p w:rsidR="0018376C" w:rsidRPr="003A40B7" w:rsidRDefault="0018376C" w:rsidP="00855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855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лекційних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занять</w:t>
            </w:r>
          </w:p>
        </w:tc>
        <w:tc>
          <w:tcPr>
            <w:tcW w:w="6198" w:type="dxa"/>
          </w:tcPr>
          <w:p w:rsidR="0018376C" w:rsidRPr="003A40B7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Матеріали навчально-</w:t>
            </w:r>
            <w:r w:rsidR="0018376C" w:rsidRPr="003A40B7">
              <w:rPr>
                <w:rFonts w:ascii="Times New Roman" w:hAnsi="Times New Roman" w:cs="Times New Roman"/>
                <w:sz w:val="24"/>
                <w:szCs w:val="24"/>
              </w:rPr>
              <w:t>методичного комплексу</w:t>
            </w:r>
          </w:p>
        </w:tc>
      </w:tr>
      <w:tr w:rsidR="004D52F9" w:rsidRPr="00E37F42" w:rsidTr="004D52F9">
        <w:trPr>
          <w:trHeight w:val="717"/>
        </w:trPr>
        <w:tc>
          <w:tcPr>
            <w:tcW w:w="804" w:type="dxa"/>
            <w:vMerge w:val="restart"/>
          </w:tcPr>
          <w:p w:rsidR="004D52F9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408" w:rsidRPr="00BF7408" w:rsidRDefault="00BF7408" w:rsidP="00BF7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85" w:type="dxa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Сучасний стан та перспективи розвитку системи міжнародних організацій з  соціальної роботи</w:t>
            </w:r>
          </w:p>
        </w:tc>
        <w:tc>
          <w:tcPr>
            <w:tcW w:w="6198" w:type="dxa"/>
            <w:vMerge w:val="restart"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F9" w:rsidRPr="00E37F42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Скорочений лекційний матеріал, р</w:t>
            </w:r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екомендована література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практичних занять</w:t>
            </w:r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плани практичних занять, методичні вказівки і рекомендована література, письмові завдання до планів практичних занять, мультимедійні презентації, тематика індивідуальних завдань, запитання для підсумкового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нтролю, тестові завдання </w:t>
            </w:r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розміщені в СЕЗН  </w:t>
            </w:r>
            <w:proofErr w:type="spellStart"/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E37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посиланням: </w:t>
            </w:r>
            <w:hyperlink r:id="rId8" w:anchor="section-1" w:history="1">
              <w:r w:rsidRPr="00E37F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https://moodle.znu.edu.ua/course/view.php?id=7971#section-1</w:t>
              </w:r>
            </w:hyperlink>
          </w:p>
          <w:p w:rsidR="004D52F9" w:rsidRPr="00E37F42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2F9" w:rsidRPr="00E37F42" w:rsidRDefault="004D52F9" w:rsidP="0026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9" w:rsidRPr="00E37F42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717"/>
        </w:trPr>
        <w:tc>
          <w:tcPr>
            <w:tcW w:w="804" w:type="dxa"/>
            <w:vMerge/>
          </w:tcPr>
          <w:p w:rsidR="004D52F9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sz w:val="24"/>
                <w:lang w:eastAsia="ar-SA"/>
              </w:rPr>
              <w:t>Міжнародні організації, які впливають на інтернаціональну соціальну роботу</w:t>
            </w:r>
          </w:p>
        </w:tc>
        <w:tc>
          <w:tcPr>
            <w:tcW w:w="6198" w:type="dxa"/>
            <w:vMerge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717"/>
        </w:trPr>
        <w:tc>
          <w:tcPr>
            <w:tcW w:w="804" w:type="dxa"/>
            <w:vMerge/>
          </w:tcPr>
          <w:p w:rsidR="004D52F9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Європейські організації, які впливають на інтернаціональну соціальну роботу</w:t>
            </w:r>
          </w:p>
        </w:tc>
        <w:tc>
          <w:tcPr>
            <w:tcW w:w="6198" w:type="dxa"/>
            <w:vMerge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717"/>
        </w:trPr>
        <w:tc>
          <w:tcPr>
            <w:tcW w:w="804" w:type="dxa"/>
            <w:vMerge/>
          </w:tcPr>
          <w:p w:rsidR="004D52F9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Сучасний стан та перспективи розвитку системи національних соціальних служб в Україні</w:t>
            </w:r>
          </w:p>
        </w:tc>
        <w:tc>
          <w:tcPr>
            <w:tcW w:w="6198" w:type="dxa"/>
            <w:vMerge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717"/>
        </w:trPr>
        <w:tc>
          <w:tcPr>
            <w:tcW w:w="804" w:type="dxa"/>
            <w:vMerge/>
          </w:tcPr>
          <w:p w:rsidR="004D52F9" w:rsidRDefault="004D52F9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5" w:type="dxa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Інституційні основи соціальної роботи</w:t>
            </w:r>
          </w:p>
        </w:tc>
        <w:tc>
          <w:tcPr>
            <w:tcW w:w="6198" w:type="dxa"/>
            <w:vMerge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2F9" w:rsidRPr="00E37F42" w:rsidTr="004D52F9">
        <w:trPr>
          <w:trHeight w:val="717"/>
        </w:trPr>
        <w:tc>
          <w:tcPr>
            <w:tcW w:w="804" w:type="dxa"/>
          </w:tcPr>
          <w:p w:rsidR="004D52F9" w:rsidRDefault="00BF7408" w:rsidP="00262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85" w:type="dxa"/>
          </w:tcPr>
          <w:p w:rsidR="004D52F9" w:rsidRPr="004D52F9" w:rsidRDefault="004D52F9" w:rsidP="002627AE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4D52F9">
              <w:rPr>
                <w:rFonts w:ascii="Times New Roman" w:hAnsi="Times New Roman" w:cs="Times New Roman"/>
                <w:bCs/>
                <w:sz w:val="24"/>
                <w:lang w:eastAsia="ar-SA"/>
              </w:rPr>
              <w:t>Сучасна мережа і організаційно-правові засади державних та недержавних служб у соціальній сфері</w:t>
            </w:r>
          </w:p>
        </w:tc>
        <w:tc>
          <w:tcPr>
            <w:tcW w:w="6198" w:type="dxa"/>
            <w:vMerge/>
          </w:tcPr>
          <w:p w:rsidR="004D52F9" w:rsidRPr="00E37F42" w:rsidRDefault="004D52F9" w:rsidP="00262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376C" w:rsidRPr="00E37F42" w:rsidRDefault="0018376C" w:rsidP="0018376C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376C" w:rsidRDefault="0018376C" w:rsidP="0018376C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376C" w:rsidRPr="003A40B7" w:rsidRDefault="0018376C" w:rsidP="0018376C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376C" w:rsidRDefault="0018376C" w:rsidP="0018376C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t xml:space="preserve">11. Вимоги та система оцінювання  </w:t>
      </w:r>
    </w:p>
    <w:p w:rsidR="0018376C" w:rsidRPr="003A40B7" w:rsidRDefault="0018376C" w:rsidP="0018376C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88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11050"/>
      </w:tblGrid>
      <w:tr w:rsidR="0018376C" w:rsidRPr="003A40B7" w:rsidTr="002627AE">
        <w:tc>
          <w:tcPr>
            <w:tcW w:w="2835" w:type="dxa"/>
          </w:tcPr>
          <w:p w:rsidR="0018376C" w:rsidRPr="003A40B7" w:rsidRDefault="0018376C" w:rsidP="002627A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11050" w:type="dxa"/>
          </w:tcPr>
          <w:p w:rsidR="0018376C" w:rsidRPr="003A40B7" w:rsidRDefault="0018376C" w:rsidP="002627AE">
            <w:pPr>
              <w:pStyle w:val="a6"/>
              <w:spacing w:before="0" w:beforeAutospacing="0" w:after="0" w:afterAutospacing="0"/>
              <w:ind w:firstLine="0"/>
              <w:jc w:val="both"/>
              <w:rPr>
                <w:lang w:val="uk-UA"/>
              </w:rPr>
            </w:pPr>
            <w:r w:rsidRPr="003A40B7">
              <w:rPr>
                <w:lang w:val="uk-UA"/>
              </w:rPr>
              <w:t>Участь у роботі впродовж семестру/</w:t>
            </w:r>
            <w:r>
              <w:rPr>
                <w:lang w:val="uk-UA"/>
              </w:rPr>
              <w:t>залік</w:t>
            </w:r>
            <w:r w:rsidRPr="003A40B7">
              <w:rPr>
                <w:lang w:val="uk-UA"/>
              </w:rPr>
              <w:t xml:space="preserve"> – 60/40 балів. </w:t>
            </w:r>
            <w:r>
              <w:rPr>
                <w:lang w:val="uk-UA"/>
              </w:rPr>
              <w:t xml:space="preserve">Оцінка заліку складається з балів, отриманих за </w:t>
            </w:r>
            <w:r>
              <w:rPr>
                <w:bCs/>
                <w:lang w:val="uk-UA"/>
              </w:rPr>
              <w:t>усні</w:t>
            </w:r>
            <w:r w:rsidRPr="00BB075D">
              <w:rPr>
                <w:bCs/>
                <w:lang w:val="uk-UA"/>
              </w:rPr>
              <w:t xml:space="preserve"> відповіді </w:t>
            </w:r>
            <w:r>
              <w:rPr>
                <w:bCs/>
                <w:lang w:val="uk-UA"/>
              </w:rPr>
              <w:t>на питання згідно з переліком та виконання практичного завдання (тест).</w:t>
            </w:r>
          </w:p>
        </w:tc>
      </w:tr>
      <w:tr w:rsidR="0018376C" w:rsidRPr="003A40B7" w:rsidTr="002627AE">
        <w:tc>
          <w:tcPr>
            <w:tcW w:w="2835" w:type="dxa"/>
          </w:tcPr>
          <w:p w:rsidR="0018376C" w:rsidRPr="003A40B7" w:rsidRDefault="0018376C" w:rsidP="002627A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Практичні заняття </w:t>
            </w:r>
          </w:p>
        </w:tc>
        <w:tc>
          <w:tcPr>
            <w:tcW w:w="11050" w:type="dxa"/>
          </w:tcPr>
          <w:p w:rsidR="0018376C" w:rsidRPr="003A40B7" w:rsidRDefault="0018376C" w:rsidP="00262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B7">
              <w:rPr>
                <w:rFonts w:ascii="Times New Roman" w:hAnsi="Times New Roman" w:cs="Times New Roman"/>
                <w:sz w:val="24"/>
                <w:szCs w:val="24"/>
              </w:rPr>
              <w:t>Попередня підготовка до розгляду питань, активна участь під час обговорення, обов’язкове виконання усіх  завдань.</w:t>
            </w:r>
          </w:p>
        </w:tc>
      </w:tr>
      <w:tr w:rsidR="0018376C" w:rsidRPr="003A40B7" w:rsidTr="002627AE">
        <w:tc>
          <w:tcPr>
            <w:tcW w:w="2835" w:type="dxa"/>
          </w:tcPr>
          <w:p w:rsidR="0018376C" w:rsidRPr="003A40B7" w:rsidRDefault="0018376C" w:rsidP="002627A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письмових завдань</w:t>
            </w:r>
          </w:p>
        </w:tc>
        <w:tc>
          <w:tcPr>
            <w:tcW w:w="11050" w:type="dxa"/>
          </w:tcPr>
          <w:p w:rsidR="0018376C" w:rsidRPr="003A40B7" w:rsidRDefault="0018376C" w:rsidP="002627A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письмових завдань, поданих до планів практичних занять, є обов’язковим складником підготовки до заняття і оцінюються додатково. </w:t>
            </w:r>
            <w:r w:rsidRPr="003A40B7">
              <w:rPr>
                <w:rFonts w:ascii="Times New Roman" w:hAnsi="Times New Roman" w:cs="Times New Roman"/>
                <w:sz w:val="24"/>
                <w:szCs w:val="24"/>
              </w:rPr>
              <w:t>Письмові роботи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винні виконуватися самостійно й перевіряються викладачем.</w:t>
            </w:r>
          </w:p>
        </w:tc>
      </w:tr>
      <w:tr w:rsidR="0018376C" w:rsidRPr="003A40B7" w:rsidTr="002627AE">
        <w:tc>
          <w:tcPr>
            <w:tcW w:w="2835" w:type="dxa"/>
          </w:tcPr>
          <w:p w:rsidR="0018376C" w:rsidRPr="003A40B7" w:rsidRDefault="0018376C" w:rsidP="002627A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 w:rsidRPr="003A4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11050" w:type="dxa"/>
          </w:tcPr>
          <w:p w:rsidR="0018376C" w:rsidRPr="003A40B7" w:rsidRDefault="0018376C" w:rsidP="002627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0B7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Обов’язкова присутність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r w:rsidRPr="003A40B7">
              <w:rPr>
                <w:rFonts w:ascii="Times New Roman" w:hAnsi="Times New Roman" w:cs="Times New Roman"/>
                <w:sz w:val="24"/>
                <w:szCs w:val="24"/>
              </w:rPr>
              <w:t xml:space="preserve"> заняттях. Активність упродовж семестру, відвідування або відпрацювання усіх практичних занять протягом двох тижнів з моменту пропуску заняття або отримання незадовільної оцінки на занятті.  </w:t>
            </w:r>
          </w:p>
        </w:tc>
      </w:tr>
    </w:tbl>
    <w:p w:rsidR="0018376C" w:rsidRPr="003A40B7" w:rsidRDefault="0018376C" w:rsidP="0018376C">
      <w:pPr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0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18376C" w:rsidRPr="00F113CC" w:rsidRDefault="0018376C" w:rsidP="0018376C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</w:t>
      </w:r>
      <w:r w:rsidRPr="003A40B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еместр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включає в себе 12 практичних занять</w:t>
      </w:r>
      <w:r w:rsidRPr="003A40B7">
        <w:rPr>
          <w:rFonts w:ascii="Times New Roman" w:hAnsi="Times New Roman" w:cs="Times New Roman"/>
          <w:color w:val="000000"/>
          <w:sz w:val="24"/>
          <w:szCs w:val="24"/>
        </w:rPr>
        <w:t xml:space="preserve">. Підготовка до практичних занять та опанування практичними навичками оцінюється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 балами за кожне заняття, у тому числі і кожний поточний контроль</w:t>
      </w:r>
      <w:r w:rsidRPr="003A40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шостому та дванадцятому заняттях проводиться поточний контроль. </w:t>
      </w:r>
      <w:r w:rsidRPr="003A40B7">
        <w:rPr>
          <w:rFonts w:ascii="Times New Roman" w:hAnsi="Times New Roman" w:cs="Times New Roman"/>
          <w:color w:val="000000"/>
          <w:sz w:val="24"/>
          <w:szCs w:val="24"/>
        </w:rPr>
        <w:t xml:space="preserve">Рейтингова оцінка поточного контролю становить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3A40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балів. У</w:t>
      </w:r>
      <w:r>
        <w:rPr>
          <w:rFonts w:ascii="Times New Roman" w:hAnsi="Times New Roman" w:cs="Times New Roman"/>
          <w:color w:val="000000"/>
          <w:sz w:val="24"/>
          <w:szCs w:val="24"/>
        </w:rPr>
        <w:t>сього за одну атестацію</w:t>
      </w:r>
      <w:r w:rsidRPr="003A40B7">
        <w:rPr>
          <w:rFonts w:ascii="Times New Roman" w:hAnsi="Times New Roman" w:cs="Times New Roman"/>
          <w:color w:val="000000"/>
          <w:sz w:val="24"/>
          <w:szCs w:val="24"/>
        </w:rPr>
        <w:t xml:space="preserve"> студент може набрати</w:t>
      </w:r>
      <w:r w:rsidRPr="003A40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30 балів.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40B7">
        <w:rPr>
          <w:rFonts w:ascii="Times New Roman" w:hAnsi="Times New Roman" w:cs="Times New Roman"/>
          <w:color w:val="000000"/>
          <w:sz w:val="24"/>
          <w:szCs w:val="24"/>
        </w:rPr>
        <w:t xml:space="preserve">Отже, за дві атестації студент може набрати 60 балів. </w:t>
      </w:r>
    </w:p>
    <w:p w:rsidR="0018376C" w:rsidRPr="003A40B7" w:rsidRDefault="0018376C" w:rsidP="0018376C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0B7">
        <w:rPr>
          <w:rFonts w:ascii="Times New Roman" w:hAnsi="Times New Roman" w:cs="Times New Roman"/>
          <w:color w:val="000000"/>
          <w:sz w:val="24"/>
          <w:szCs w:val="24"/>
        </w:rPr>
        <w:t>До підсумкового семестрового контролю студент допускається, якщо з можливих 60 балів за дві атестації він набрав 35 і більше балів.</w:t>
      </w:r>
    </w:p>
    <w:p w:rsidR="0018376C" w:rsidRPr="003A40B7" w:rsidRDefault="0018376C" w:rsidP="0018376C">
      <w:pPr>
        <w:pStyle w:val="a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3A40B7">
        <w:rPr>
          <w:b/>
          <w:color w:val="000000"/>
          <w:lang w:val="uk-UA"/>
        </w:rPr>
        <w:t>Підсумковий семестровий контроль</w:t>
      </w:r>
      <w:r w:rsidRPr="003A40B7">
        <w:rPr>
          <w:color w:val="000000"/>
          <w:lang w:val="uk-UA"/>
        </w:rPr>
        <w:t xml:space="preserve"> оцінюється в 40 балів. </w:t>
      </w:r>
      <w:r w:rsidRPr="00F113CC">
        <w:rPr>
          <w:lang w:val="uk-UA"/>
        </w:rPr>
        <w:t xml:space="preserve">Підсумковий контроль у вигляді письмового заліку за індивідуальними картками та тесту у системі електронного забезпечення у </w:t>
      </w:r>
      <w:proofErr w:type="spellStart"/>
      <w:r w:rsidRPr="00F113CC">
        <w:rPr>
          <w:lang w:val="uk-UA"/>
        </w:rPr>
        <w:t>Moodle</w:t>
      </w:r>
      <w:proofErr w:type="spellEnd"/>
      <w:r w:rsidRPr="00F113CC">
        <w:rPr>
          <w:lang w:val="uk-UA"/>
        </w:rPr>
        <w:t>. Відповіді на залікові питання</w:t>
      </w:r>
      <w:r>
        <w:t xml:space="preserve"> </w:t>
      </w:r>
      <w:r>
        <w:rPr>
          <w:lang w:val="uk-UA"/>
        </w:rPr>
        <w:t xml:space="preserve"> </w:t>
      </w:r>
      <w:r>
        <w:t xml:space="preserve">максимально </w:t>
      </w:r>
      <w:r w:rsidRPr="00F113CC">
        <w:rPr>
          <w:lang w:val="uk-UA"/>
        </w:rPr>
        <w:t>оцінюються в</w:t>
      </w:r>
      <w:r>
        <w:t xml:space="preserve"> 20</w:t>
      </w:r>
      <w:r>
        <w:rPr>
          <w:lang w:val="uk-UA"/>
        </w:rPr>
        <w:t xml:space="preserve"> балів; тестові завдання оцінюється в </w:t>
      </w:r>
      <w:r>
        <w:t>20</w:t>
      </w:r>
      <w:r>
        <w:rPr>
          <w:lang w:val="uk-UA"/>
        </w:rPr>
        <w:t xml:space="preserve"> балів</w:t>
      </w:r>
      <w:r>
        <w:t xml:space="preserve">. </w:t>
      </w:r>
      <w:r w:rsidRPr="003A40B7">
        <w:rPr>
          <w:color w:val="000000"/>
          <w:lang w:val="uk-UA"/>
        </w:rPr>
        <w:t>Разом за семестр студент максимально може набрати 100 балів.</w:t>
      </w:r>
    </w:p>
    <w:p w:rsidR="0018376C" w:rsidRPr="00FB6A9C" w:rsidRDefault="0018376C" w:rsidP="0018376C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0B7">
        <w:rPr>
          <w:rFonts w:ascii="Times New Roman" w:hAnsi="Times New Roman" w:cs="Times New Roman"/>
          <w:color w:val="000000"/>
          <w:sz w:val="24"/>
          <w:szCs w:val="24"/>
        </w:rPr>
        <w:t xml:space="preserve">Якщо за результатами поточного і підсумкового семестрового контролю студент отримав менше 60 балів, то вивчення </w:t>
      </w:r>
      <w:r>
        <w:rPr>
          <w:rFonts w:ascii="Times New Roman" w:hAnsi="Times New Roman" w:cs="Times New Roman"/>
          <w:color w:val="000000"/>
          <w:sz w:val="24"/>
          <w:szCs w:val="24"/>
        </w:rPr>
        <w:t>цієї дисципліни</w:t>
      </w:r>
      <w:r w:rsidRPr="003A40B7">
        <w:rPr>
          <w:rFonts w:ascii="Times New Roman" w:hAnsi="Times New Roman" w:cs="Times New Roman"/>
          <w:color w:val="000000"/>
          <w:sz w:val="24"/>
          <w:szCs w:val="24"/>
        </w:rPr>
        <w:t xml:space="preserve"> йому не зараховується й розглядається як академічна заборгованість.</w:t>
      </w:r>
    </w:p>
    <w:p w:rsidR="0018376C" w:rsidRDefault="0018376C" w:rsidP="0018376C"/>
    <w:p w:rsidR="0018376C" w:rsidRPr="0058330C" w:rsidRDefault="0018376C" w:rsidP="0018376C"/>
    <w:p w:rsidR="00AE561D" w:rsidRPr="0018376C" w:rsidRDefault="00AE561D" w:rsidP="0018376C"/>
    <w:sectPr w:rsidR="00AE561D" w:rsidRPr="0018376C" w:rsidSect="00DE54E5">
      <w:pgSz w:w="16838" w:h="11906"/>
      <w:pgMar w:top="1276" w:right="1440" w:bottom="1134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08C"/>
    <w:multiLevelType w:val="hybridMultilevel"/>
    <w:tmpl w:val="08F61EFA"/>
    <w:lvl w:ilvl="0" w:tplc="1E42366A">
      <w:start w:val="6"/>
      <w:numFmt w:val="bullet"/>
      <w:lvlText w:val="–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951B1"/>
    <w:multiLevelType w:val="hybridMultilevel"/>
    <w:tmpl w:val="93E65E72"/>
    <w:lvl w:ilvl="0" w:tplc="44FE39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7A30C54"/>
    <w:multiLevelType w:val="singleLevel"/>
    <w:tmpl w:val="6832B3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1780193"/>
    <w:multiLevelType w:val="hybridMultilevel"/>
    <w:tmpl w:val="36282D80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361E4B39"/>
    <w:multiLevelType w:val="hybridMultilevel"/>
    <w:tmpl w:val="8A2657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51E4E"/>
    <w:multiLevelType w:val="hybridMultilevel"/>
    <w:tmpl w:val="A3A44A6A"/>
    <w:lvl w:ilvl="0" w:tplc="29A4F0BA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5EA4711B"/>
    <w:multiLevelType w:val="hybridMultilevel"/>
    <w:tmpl w:val="AE9C2404"/>
    <w:lvl w:ilvl="0" w:tplc="44FE39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68031238"/>
    <w:multiLevelType w:val="hybridMultilevel"/>
    <w:tmpl w:val="4E08000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76C"/>
    <w:rsid w:val="00154387"/>
    <w:rsid w:val="0018376C"/>
    <w:rsid w:val="004D52F9"/>
    <w:rsid w:val="0051471C"/>
    <w:rsid w:val="005E2429"/>
    <w:rsid w:val="00604D15"/>
    <w:rsid w:val="006830CC"/>
    <w:rsid w:val="00687057"/>
    <w:rsid w:val="006D19E7"/>
    <w:rsid w:val="006F5C6F"/>
    <w:rsid w:val="00700BB8"/>
    <w:rsid w:val="007A1536"/>
    <w:rsid w:val="00855039"/>
    <w:rsid w:val="009425AB"/>
    <w:rsid w:val="00964CBD"/>
    <w:rsid w:val="009A11C6"/>
    <w:rsid w:val="009B7F3C"/>
    <w:rsid w:val="009E3875"/>
    <w:rsid w:val="00AE561D"/>
    <w:rsid w:val="00B06D8B"/>
    <w:rsid w:val="00B25DF1"/>
    <w:rsid w:val="00B57A0F"/>
    <w:rsid w:val="00B932BD"/>
    <w:rsid w:val="00BF7408"/>
    <w:rsid w:val="00C30339"/>
    <w:rsid w:val="00C4682A"/>
    <w:rsid w:val="00DA2B6E"/>
    <w:rsid w:val="00DB110E"/>
    <w:rsid w:val="00DE3F92"/>
    <w:rsid w:val="00E30E6F"/>
    <w:rsid w:val="00E57051"/>
    <w:rsid w:val="00FD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76C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376C"/>
    <w:rPr>
      <w:color w:val="0000FF"/>
      <w:u w:val="single"/>
    </w:rPr>
  </w:style>
  <w:style w:type="table" w:styleId="a5">
    <w:name w:val="Table Grid"/>
    <w:basedOn w:val="a1"/>
    <w:uiPriority w:val="39"/>
    <w:rsid w:val="0018376C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8376C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79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view.php?id=7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7971" TargetMode="External"/><Relationship Id="rId5" Type="http://schemas.openxmlformats.org/officeDocument/2006/relationships/hyperlink" Target="http://sites.znu.edu.ua/cms/index.php?action=news/view_details&amp;news_id=37493&amp;lang=ukr&amp;news_code=gladish-mariya-oleksandri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6708</Words>
  <Characters>3825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19</cp:revision>
  <dcterms:created xsi:type="dcterms:W3CDTF">2020-02-05T21:22:00Z</dcterms:created>
  <dcterms:modified xsi:type="dcterms:W3CDTF">2020-09-13T21:08:00Z</dcterms:modified>
</cp:coreProperties>
</file>