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23" w:rsidRPr="004350A5" w:rsidRDefault="00513F23" w:rsidP="00513F23">
      <w:pPr>
        <w:jc w:val="both"/>
        <w:rPr>
          <w:rFonts w:cs="Times New Roman"/>
          <w:b/>
          <w:sz w:val="32"/>
          <w:szCs w:val="32"/>
          <w:lang w:val="uk-UA"/>
        </w:rPr>
      </w:pPr>
      <w:r w:rsidRPr="004350A5">
        <w:rPr>
          <w:rFonts w:cs="Times New Roman"/>
          <w:b/>
          <w:sz w:val="32"/>
          <w:szCs w:val="32"/>
          <w:lang w:val="uk-UA"/>
        </w:rPr>
        <w:t>Тема 2. Методика аудиту податку на прибуток</w:t>
      </w:r>
    </w:p>
    <w:p w:rsidR="00513F23" w:rsidRDefault="00513F23" w:rsidP="00513F23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2.1 Мета аудиторської перевірки податку на прибуток</w:t>
      </w:r>
    </w:p>
    <w:p w:rsidR="00513F23" w:rsidRPr="0052309F" w:rsidRDefault="00513F23" w:rsidP="00513F23">
      <w:pPr>
        <w:jc w:val="both"/>
        <w:rPr>
          <w:rFonts w:cs="Times New Roman"/>
          <w:szCs w:val="28"/>
          <w:lang w:val="uk-UA"/>
        </w:rPr>
      </w:pPr>
      <w:r w:rsidRPr="0052309F">
        <w:rPr>
          <w:rFonts w:cs="Times New Roman"/>
          <w:szCs w:val="28"/>
          <w:lang w:val="uk-UA"/>
        </w:rPr>
        <w:t>2.2 Процедури аудиторської перевірки податку на прибуток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2.3 Методика виконання процедур аудиторської перевірки податку на прибуток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</w:p>
    <w:p w:rsidR="00513F23" w:rsidRPr="001A0517" w:rsidRDefault="00513F23" w:rsidP="00513F23">
      <w:pPr>
        <w:jc w:val="both"/>
        <w:rPr>
          <w:rFonts w:cs="Times New Roman"/>
          <w:b/>
          <w:szCs w:val="28"/>
          <w:lang w:val="uk-UA"/>
        </w:rPr>
      </w:pPr>
      <w:r w:rsidRPr="001A0517">
        <w:rPr>
          <w:rFonts w:cs="Times New Roman"/>
          <w:b/>
          <w:szCs w:val="28"/>
          <w:lang w:val="uk-UA"/>
        </w:rPr>
        <w:t>2.1Мета аудиторської перевірки податку на прибуток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Для сплати податку на прибуток встановлено такі податкові періоди: календарні квартал, півріччя, три квартали, рік.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За результатами кожного звітного податкового періоду платник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податку складає декларацію з податку на прибуток, яка подається до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органів ДПС за місцем реєстрації платника податку. Форма та зміст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декларації з податку на прибуток затверджена наказом Міністерства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 xml:space="preserve">фінансів </w:t>
      </w:r>
      <w:r w:rsidRPr="000D079D">
        <w:rPr>
          <w:rFonts w:cs="Times New Roman"/>
          <w:szCs w:val="28"/>
          <w:lang w:val="uk-UA"/>
        </w:rPr>
        <w:t>України від 20.10.2015 р. № 897 зі змінами внесеними наказом від 14.11 2019 р. № 481.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Визначений у декларації розмір об’єкта оподаткування та розрахована сума податку після подання декларації до органів ДПС має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статус узгодженого грошового зобов’язання.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Це означає, що держава в особі ДПС погоджується з платником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податку про те, що останній справді має за звітний податковий період сплатити саме ту суму податку на прибуток, яка наведена в поданій декларації. Таким чином, держава є користувачем інформації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 отримані доходи, витрати та визначену суму податку на прибуток, яка розкривається платником податку у показниках декларації.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Крім того, визначена в декларації сума узгодженого грошового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зобов’язання стає одним із компонентів фінансового звіту, а саме: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у балансі підприємства на звітну дату відображається сума узгодженого грошового зобов’язання з податку на прибуток;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lastRenderedPageBreak/>
        <w:t>– у звіті про фінансові результати наводиться сума витрат з податку на прибуток, яка включає загальну суму задекларованого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податку на прибуток за звітний рік;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у примітках до фінансових звітів розкривається інформація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 складові, що сформували витрати (доходи) з податку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 xml:space="preserve">прибуток відповідно до вимог П(С)БО 17 </w:t>
      </w:r>
      <w:r>
        <w:rPr>
          <w:rFonts w:cs="Times New Roman"/>
          <w:szCs w:val="28"/>
          <w:lang w:val="uk-UA"/>
        </w:rPr>
        <w:t>«</w:t>
      </w:r>
      <w:r w:rsidRPr="004221F2">
        <w:rPr>
          <w:rFonts w:cs="Times New Roman"/>
          <w:szCs w:val="28"/>
          <w:lang w:val="uk-UA"/>
        </w:rPr>
        <w:t>Податок на прибуток</w:t>
      </w:r>
      <w:r>
        <w:rPr>
          <w:rFonts w:cs="Times New Roman"/>
          <w:szCs w:val="28"/>
          <w:lang w:val="uk-UA"/>
        </w:rPr>
        <w:t>»</w:t>
      </w:r>
      <w:r w:rsidRPr="004221F2">
        <w:rPr>
          <w:rFonts w:cs="Times New Roman"/>
          <w:szCs w:val="28"/>
          <w:lang w:val="uk-UA"/>
        </w:rPr>
        <w:t>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Як відомо, фінансова звітність має досить широкий спектр користувачів, для яких інформація щодо стану розрахунків з бюджетом з податку на прибуток може мати досить важливе значення.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Отже, метою аудиторської перевірки податку на прибуток є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висловлення аудитором судження: чи відповідає інформація, наведена в декларації з податку на прибуток підприємства, про доходи,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витрати, та визначений податок на прибуток вимогам чинного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податкового законодавства щодо їх визнання, оцінки та порядку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класифікації.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Для досягнення поставленої мети необхідно перевірити: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наявність та правильність оформлення первинних документів,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які були підставою для визнання доходів та витрат у процесі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обчислення розміру оподатковуваного прибутку;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склад та повноту формування доходів звітного періоду;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склад витрат звітного періоду на його відповідність податковому законодавству;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відповідність застосовуваних правил визнання різних груп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доходів та витрат вимогам податкового законодавства;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відповідність застосовуваних підходів щодо оцінки різних груп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доходів та витрат відповідно до вимог податкового законодавства,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а також перевірити правильність: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застосування облікових оцінок при визначенні амортизаційних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витрат;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класифікації доходів та витрат у показниках декларації з податку на прибуток;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lastRenderedPageBreak/>
        <w:t>– застосування ставок та порядок обчислення податку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прибуток.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</w:p>
    <w:p w:rsidR="00513F23" w:rsidRPr="001A0517" w:rsidRDefault="00513F23" w:rsidP="00513F23">
      <w:pPr>
        <w:jc w:val="both"/>
        <w:rPr>
          <w:rFonts w:cs="Times New Roman"/>
          <w:b/>
          <w:szCs w:val="28"/>
          <w:lang w:val="uk-UA"/>
        </w:rPr>
      </w:pPr>
      <w:r w:rsidRPr="001A0517">
        <w:rPr>
          <w:rFonts w:cs="Times New Roman"/>
          <w:b/>
          <w:szCs w:val="28"/>
          <w:lang w:val="uk-UA"/>
        </w:rPr>
        <w:t xml:space="preserve">2.2 </w:t>
      </w:r>
      <w:r>
        <w:rPr>
          <w:rFonts w:cs="Times New Roman"/>
          <w:b/>
          <w:szCs w:val="28"/>
          <w:lang w:val="uk-UA"/>
        </w:rPr>
        <w:t>П</w:t>
      </w:r>
      <w:r w:rsidRPr="001A0517">
        <w:rPr>
          <w:rFonts w:cs="Times New Roman"/>
          <w:b/>
          <w:szCs w:val="28"/>
          <w:lang w:val="uk-UA"/>
        </w:rPr>
        <w:t>роцедур</w:t>
      </w:r>
      <w:r>
        <w:rPr>
          <w:rFonts w:cs="Times New Roman"/>
          <w:b/>
          <w:szCs w:val="28"/>
          <w:lang w:val="uk-UA"/>
        </w:rPr>
        <w:t>и</w:t>
      </w:r>
      <w:r w:rsidRPr="001A0517">
        <w:rPr>
          <w:rFonts w:cs="Times New Roman"/>
          <w:b/>
          <w:szCs w:val="28"/>
          <w:lang w:val="uk-UA"/>
        </w:rPr>
        <w:t xml:space="preserve"> аудиторської перевірки податку на прибуток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Загальний комплекс здійснюваних аудитором процедур можна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умовно поділити на п’ять напрямів: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1) отримання розуміння підприємства як платника податку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прибуток: його податковий статус, можливість застосування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пільгових режимів оподаткування, особливості процедур сплати податку;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2) дослідження прийнятої облікової політики підприємства для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цілей складання фінансової звітності та формування декларації з податку на прибуток. Тобто слід встановити, чи існують розбіжності в застосовуваних процедурах оцінки доходів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та витрат. Також цей напрям включає процедури, спрямовані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на вивчення системи внутрішнього контролю (документообіг,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застосовувані на підприємстві процедури санкціонування операцій, застосовувані облікові системи, робочий план рахунків</w:t>
      </w:r>
      <w:r>
        <w:rPr>
          <w:rFonts w:cs="Times New Roman"/>
          <w:szCs w:val="28"/>
          <w:lang w:val="uk-UA"/>
        </w:rPr>
        <w:t>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3) дослідження складу доходів, які отримувало підприємство протягом звітного податкового періоду: їх зміст (від реалізації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товарів, надання послуг, оренди тощо), форма отримання (готівкові, безготівкові, безоплатні), напрям отримання (в Україні, експортні, від операцій з пов’язаними особами);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4) дослідження складу витрат, які мало підприємство протягом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звітного податкового періоду: їх зміст (собівартість реалізованої продукції (товарів), від отримання послуг, фінансові витрати, витрати від сплати податків тощо), форма здійснення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(готівкові, безготівкові), джерело отримання (в Україні, імпортовані, від операцій з пов’язаними особами, отримані від нерезидента з офшорним статусом);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5) дослідження складу операцій з основними засобами та нематеріальними активами: склад (власні, орендовані за договором оперативної оренди або за договором фінансової оренди),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форма використання у господарській діяльності (у власній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 xml:space="preserve">господарській діяльності, </w:t>
      </w:r>
      <w:r w:rsidRPr="004221F2">
        <w:rPr>
          <w:rFonts w:cs="Times New Roman"/>
          <w:szCs w:val="28"/>
          <w:lang w:val="uk-UA"/>
        </w:rPr>
        <w:lastRenderedPageBreak/>
        <w:t>передані в оперативну оренду, тимчасово виведені з експлуатації), зміна балансової вартості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(переоцінка, поліпшення), рух (надходження, вибуття).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</w:t>
      </w:r>
      <w:r w:rsidRPr="004221F2">
        <w:rPr>
          <w:rFonts w:cs="Times New Roman"/>
          <w:szCs w:val="28"/>
          <w:lang w:val="uk-UA"/>
        </w:rPr>
        <w:t>ершим етапом здійснення аудиторської перевірки податку на прибуток є отримання розуміння діяльності платника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податку та середовища його функціонування</w:t>
      </w:r>
      <w:r>
        <w:rPr>
          <w:rFonts w:cs="Times New Roman"/>
          <w:szCs w:val="28"/>
          <w:lang w:val="uk-UA"/>
        </w:rPr>
        <w:t>, що</w:t>
      </w:r>
      <w:r w:rsidRPr="004221F2">
        <w:rPr>
          <w:rFonts w:cs="Times New Roman"/>
          <w:szCs w:val="28"/>
          <w:lang w:val="uk-UA"/>
        </w:rPr>
        <w:t xml:space="preserve"> слугує базою для формування детальної програми і процедур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аудиторської перевірки. Таке дослідження зазвичай проводиться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етапі укладення договору.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Орієнтовний перелік необхідної інформації включає:</w:t>
      </w:r>
    </w:p>
    <w:p w:rsidR="00513F23" w:rsidRPr="004350A5" w:rsidRDefault="00513F23" w:rsidP="00513F23">
      <w:pPr>
        <w:jc w:val="both"/>
        <w:rPr>
          <w:rFonts w:cs="Times New Roman"/>
          <w:i/>
          <w:szCs w:val="28"/>
          <w:lang w:val="uk-UA"/>
        </w:rPr>
      </w:pPr>
      <w:r w:rsidRPr="004350A5">
        <w:rPr>
          <w:rFonts w:cs="Times New Roman"/>
          <w:i/>
          <w:szCs w:val="28"/>
          <w:lang w:val="uk-UA"/>
        </w:rPr>
        <w:t xml:space="preserve">– </w:t>
      </w:r>
      <w:r>
        <w:rPr>
          <w:rFonts w:cs="Times New Roman"/>
          <w:i/>
          <w:szCs w:val="28"/>
          <w:lang w:val="uk-UA"/>
        </w:rPr>
        <w:t xml:space="preserve">для </w:t>
      </w:r>
      <w:r w:rsidRPr="004350A5">
        <w:rPr>
          <w:rFonts w:cs="Times New Roman"/>
          <w:i/>
          <w:szCs w:val="28"/>
          <w:lang w:val="uk-UA"/>
        </w:rPr>
        <w:t>оцінк</w:t>
      </w:r>
      <w:r>
        <w:rPr>
          <w:rFonts w:cs="Times New Roman"/>
          <w:i/>
          <w:szCs w:val="28"/>
          <w:lang w:val="uk-UA"/>
        </w:rPr>
        <w:t>и</w:t>
      </w:r>
      <w:r w:rsidRPr="004350A5">
        <w:rPr>
          <w:rFonts w:cs="Times New Roman"/>
          <w:i/>
          <w:szCs w:val="28"/>
          <w:lang w:val="uk-UA"/>
        </w:rPr>
        <w:t xml:space="preserve"> податкового статусу</w:t>
      </w:r>
      <w:r>
        <w:rPr>
          <w:rFonts w:cs="Times New Roman"/>
          <w:i/>
          <w:szCs w:val="28"/>
          <w:lang w:val="uk-UA"/>
        </w:rPr>
        <w:t>: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копія статуту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копія свідоцтва про державну реєстрацію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копія останнього свідоцтва про сплату єдиного податку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 xml:space="preserve">копія свідоцтва платника </w:t>
      </w:r>
      <w:r>
        <w:rPr>
          <w:lang w:val="uk-UA"/>
        </w:rPr>
        <w:t>ПДВ;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перелік контрагентів (покупців та постачальників) – пов’язаних осіб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перелік та місцезнаходження філій та дочірніх підприємств (за наявності)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штатний розпис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ліцензії на види діяльності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перелік відкритих розрахункових та депозитних рахунків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середньооблікова чисельність працюючих за звітний фінансовий рік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декларація з податку на прибуток за звітний рік (рік, що перевіряється)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декларації про сплату податку на доходи фізичних осіб (ф.1дф) за звітний рік</w:t>
      </w:r>
      <w:r>
        <w:rPr>
          <w:lang w:val="uk-UA"/>
        </w:rPr>
        <w:t xml:space="preserve"> </w:t>
      </w:r>
      <w:r w:rsidRPr="004350A5">
        <w:rPr>
          <w:lang w:val="uk-UA"/>
        </w:rPr>
        <w:t>(рік</w:t>
      </w:r>
      <w:r>
        <w:rPr>
          <w:lang w:val="uk-UA"/>
        </w:rPr>
        <w:t>,</w:t>
      </w:r>
      <w:r w:rsidRPr="004350A5">
        <w:rPr>
          <w:lang w:val="uk-UA"/>
        </w:rPr>
        <w:t xml:space="preserve"> що перевіряється)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декларації з податку на прибуток за три попередні роки, що передували звітному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звіт про фінансові результати за звітний рік (рік, що перевіряється)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розрахунки податкових зобов’язань щодо сплати консолідованого податку на</w:t>
      </w:r>
      <w:r>
        <w:rPr>
          <w:lang w:val="uk-UA"/>
        </w:rPr>
        <w:t xml:space="preserve"> </w:t>
      </w:r>
      <w:r w:rsidRPr="004350A5">
        <w:rPr>
          <w:lang w:val="uk-UA"/>
        </w:rPr>
        <w:t>прибуток за звітний рік (рік, що перевіряється)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lastRenderedPageBreak/>
        <w:t xml:space="preserve">– </w:t>
      </w:r>
      <w:r w:rsidRPr="004350A5">
        <w:rPr>
          <w:lang w:val="uk-UA"/>
        </w:rPr>
        <w:t>звіт про фінансові результати за три попередні роки, що передували звітному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загальна сума сплачених до бюджету податків за останні чотири (послідовні)</w:t>
      </w:r>
      <w:r>
        <w:rPr>
          <w:lang w:val="uk-UA"/>
        </w:rPr>
        <w:t xml:space="preserve"> </w:t>
      </w:r>
      <w:r w:rsidRPr="004350A5">
        <w:rPr>
          <w:lang w:val="uk-UA"/>
        </w:rPr>
        <w:t>звітні квартали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протоколи зборів засновників (акціонерів), на яких приймалося рішення щодо</w:t>
      </w:r>
      <w:r>
        <w:rPr>
          <w:lang w:val="uk-UA"/>
        </w:rPr>
        <w:t xml:space="preserve"> </w:t>
      </w:r>
      <w:r w:rsidRPr="004350A5">
        <w:rPr>
          <w:lang w:val="uk-UA"/>
        </w:rPr>
        <w:t>виплати дивідендів протягом звітного року (року, що перевіряється)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 xml:space="preserve">копія останнього акта (довідки) за результатами перевірки органами </w:t>
      </w:r>
      <w:r>
        <w:rPr>
          <w:lang w:val="uk-UA"/>
        </w:rPr>
        <w:t xml:space="preserve">ДПС </w:t>
      </w:r>
      <w:r w:rsidRPr="004350A5">
        <w:rPr>
          <w:lang w:val="uk-UA"/>
        </w:rPr>
        <w:t>податку на прибуток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копії податкових повідомлень-рішень, які отримувало підприємство протягом</w:t>
      </w:r>
      <w:r>
        <w:rPr>
          <w:lang w:val="uk-UA"/>
        </w:rPr>
        <w:t xml:space="preserve"> </w:t>
      </w:r>
      <w:r w:rsidRPr="004350A5">
        <w:rPr>
          <w:lang w:val="uk-UA"/>
        </w:rPr>
        <w:t>звітного періоду, щодо повноти та своєчасності сплати податку на прибуток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копія акта опису майна, що знаходиться у податковій заставі</w:t>
      </w:r>
      <w:r>
        <w:rPr>
          <w:lang w:val="uk-UA"/>
        </w:rPr>
        <w:t>;</w:t>
      </w:r>
    </w:p>
    <w:p w:rsidR="00513F23" w:rsidRPr="004350A5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>копія рішення про розстрочення або відстрочення грошового зобов’язання або</w:t>
      </w:r>
      <w:r>
        <w:rPr>
          <w:lang w:val="uk-UA"/>
        </w:rPr>
        <w:t xml:space="preserve"> </w:t>
      </w:r>
      <w:r w:rsidRPr="004350A5">
        <w:rPr>
          <w:lang w:val="uk-UA"/>
        </w:rPr>
        <w:t>податкового боргу, пов’язаного зі сплатою податку на прибуток</w:t>
      </w:r>
      <w:r>
        <w:rPr>
          <w:lang w:val="uk-UA"/>
        </w:rPr>
        <w:t>;</w:t>
      </w:r>
    </w:p>
    <w:p w:rsidR="00513F23" w:rsidRDefault="00513F23" w:rsidP="00513F23">
      <w:pPr>
        <w:jc w:val="both"/>
        <w:rPr>
          <w:rFonts w:ascii="WarnockPro-Regular" w:hAnsi="WarnockPro-Regular" w:cs="WarnockPro-Regular"/>
          <w:sz w:val="20"/>
          <w:szCs w:val="20"/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4350A5">
        <w:rPr>
          <w:lang w:val="uk-UA"/>
        </w:rPr>
        <w:t xml:space="preserve">інші документи, що визначаються необхідними з позицій професійного </w:t>
      </w:r>
      <w:r w:rsidRPr="00977AED">
        <w:rPr>
          <w:rFonts w:cs="Times New Roman"/>
          <w:szCs w:val="28"/>
          <w:lang w:val="uk-UA"/>
        </w:rPr>
        <w:t xml:space="preserve">судження </w:t>
      </w:r>
      <w:r w:rsidRPr="00977AED">
        <w:rPr>
          <w:rFonts w:cs="Times New Roman"/>
          <w:szCs w:val="28"/>
        </w:rPr>
        <w:t>аудитора</w:t>
      </w:r>
      <w:r>
        <w:rPr>
          <w:rFonts w:cs="Times New Roman"/>
          <w:szCs w:val="28"/>
        </w:rPr>
        <w:t>;</w:t>
      </w:r>
    </w:p>
    <w:p w:rsidR="00513F23" w:rsidRPr="00977AED" w:rsidRDefault="00513F23" w:rsidP="00513F23">
      <w:pPr>
        <w:jc w:val="both"/>
        <w:rPr>
          <w:rFonts w:cs="Times New Roman"/>
          <w:i/>
          <w:szCs w:val="28"/>
          <w:lang w:val="uk-UA"/>
        </w:rPr>
      </w:pPr>
      <w:r w:rsidRPr="00977AED">
        <w:rPr>
          <w:rFonts w:cs="Times New Roman"/>
          <w:i/>
          <w:szCs w:val="28"/>
          <w:lang w:val="uk-UA"/>
        </w:rPr>
        <w:t xml:space="preserve">– </w:t>
      </w:r>
      <w:r>
        <w:rPr>
          <w:rFonts w:cs="Times New Roman"/>
          <w:i/>
          <w:szCs w:val="28"/>
          <w:lang w:val="uk-UA"/>
        </w:rPr>
        <w:t xml:space="preserve">для </w:t>
      </w:r>
      <w:r w:rsidRPr="00977AED">
        <w:rPr>
          <w:rFonts w:cs="Times New Roman"/>
          <w:i/>
          <w:szCs w:val="28"/>
          <w:lang w:val="uk-UA"/>
        </w:rPr>
        <w:t>дослідження прийнятої облікової політики та системи внутрішнього контролю</w:t>
      </w:r>
      <w:r>
        <w:rPr>
          <w:rFonts w:cs="Times New Roman"/>
          <w:i/>
          <w:szCs w:val="28"/>
          <w:lang w:val="uk-UA"/>
        </w:rPr>
        <w:t>: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наказ про облікову політику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наказ про політику ціноутворення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накази про проведення інвентаризації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акти інвентаризації на останню дату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робочий план рахунків (оборотно-сальдова відомість)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посадові інструкції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розпорядчі документи, що регламентують систему внутрішнього контролю щодо</w:t>
      </w:r>
      <w:r>
        <w:rPr>
          <w:lang w:val="uk-UA"/>
        </w:rPr>
        <w:t xml:space="preserve"> </w:t>
      </w:r>
      <w:r w:rsidRPr="00977AED">
        <w:rPr>
          <w:lang w:val="uk-UA"/>
        </w:rPr>
        <w:t>руху ТМЦ та грошових коштів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внутрішні документи, що регламентують порядок проведення переоцінок ТМЦ</w:t>
      </w:r>
      <w:r>
        <w:rPr>
          <w:lang w:val="uk-UA"/>
        </w:rPr>
        <w:t xml:space="preserve"> </w:t>
      </w:r>
      <w:r w:rsidRPr="00977AED">
        <w:rPr>
          <w:lang w:val="uk-UA"/>
        </w:rPr>
        <w:t>та основних засобів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lastRenderedPageBreak/>
        <w:t xml:space="preserve">– </w:t>
      </w:r>
      <w:r w:rsidRPr="00977AED">
        <w:rPr>
          <w:lang w:val="uk-UA"/>
        </w:rPr>
        <w:t>перелік норм і нормативів, які застосовуються на підприємстві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бюджети (плани доходів та витрат) та їх фактичне виконання за звітний період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р</w:t>
      </w:r>
      <w:r w:rsidRPr="00977AED">
        <w:rPr>
          <w:lang w:val="uk-UA"/>
        </w:rPr>
        <w:t>озрахунок суми відстрочених податкових активів (зобов’язань)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і</w:t>
      </w:r>
      <w:r w:rsidRPr="00977AED">
        <w:rPr>
          <w:lang w:val="uk-UA"/>
        </w:rPr>
        <w:t>нші документи, що визнані необхідними з позицій професійного судження аудитора</w:t>
      </w:r>
    </w:p>
    <w:p w:rsidR="00513F23" w:rsidRPr="00977AED" w:rsidRDefault="00513F23" w:rsidP="00513F23">
      <w:pPr>
        <w:jc w:val="both"/>
        <w:rPr>
          <w:rFonts w:cs="Times New Roman"/>
          <w:i/>
          <w:szCs w:val="28"/>
          <w:lang w:val="uk-UA"/>
        </w:rPr>
      </w:pPr>
      <w:r w:rsidRPr="00977AED">
        <w:rPr>
          <w:rFonts w:cs="Times New Roman"/>
          <w:i/>
          <w:szCs w:val="28"/>
          <w:lang w:val="uk-UA"/>
        </w:rPr>
        <w:t xml:space="preserve">– </w:t>
      </w:r>
      <w:r>
        <w:rPr>
          <w:rFonts w:cs="Times New Roman"/>
          <w:i/>
          <w:szCs w:val="28"/>
          <w:lang w:val="uk-UA"/>
        </w:rPr>
        <w:t xml:space="preserve">для </w:t>
      </w:r>
      <w:r w:rsidRPr="00977AED">
        <w:rPr>
          <w:rFonts w:cs="Times New Roman"/>
          <w:i/>
          <w:szCs w:val="28"/>
          <w:lang w:val="uk-UA"/>
        </w:rPr>
        <w:t>дослідження складу доходів</w:t>
      </w:r>
      <w:r>
        <w:rPr>
          <w:rFonts w:cs="Times New Roman"/>
          <w:i/>
          <w:szCs w:val="28"/>
          <w:lang w:val="uk-UA"/>
        </w:rPr>
        <w:t>: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д</w:t>
      </w:r>
      <w:r w:rsidRPr="00977AED">
        <w:rPr>
          <w:lang w:val="uk-UA"/>
        </w:rPr>
        <w:t>оговори, які діяли протягом звітного податкового періоду: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оренди (в яких підприємство є орендодавцем);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 покупцями (вітчизняними);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 покупцями (експорт);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інші договори, за якими підприємство отримувало доходи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п</w:t>
      </w:r>
      <w:r w:rsidRPr="00977AED">
        <w:rPr>
          <w:lang w:val="uk-UA"/>
        </w:rPr>
        <w:t>ерелік здійснюваних операцій протягом звітного податкового періоду, які</w:t>
      </w:r>
      <w:r>
        <w:rPr>
          <w:lang w:val="uk-UA"/>
        </w:rPr>
        <w:t xml:space="preserve"> </w:t>
      </w:r>
      <w:r w:rsidRPr="00977AED">
        <w:rPr>
          <w:lang w:val="uk-UA"/>
        </w:rPr>
        <w:t>мають пільгу з ПДВ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п</w:t>
      </w:r>
      <w:r w:rsidRPr="00977AED">
        <w:rPr>
          <w:lang w:val="uk-UA"/>
        </w:rPr>
        <w:t>ерелік здійснюваних операцій протягом звітного податкового періоду, доходи</w:t>
      </w:r>
      <w:r>
        <w:rPr>
          <w:lang w:val="uk-UA"/>
        </w:rPr>
        <w:t xml:space="preserve"> </w:t>
      </w:r>
      <w:r w:rsidRPr="00977AED">
        <w:rPr>
          <w:lang w:val="uk-UA"/>
        </w:rPr>
        <w:t>від яких визнаються за касовим методом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а</w:t>
      </w:r>
      <w:r w:rsidRPr="00977AED">
        <w:rPr>
          <w:lang w:val="uk-UA"/>
        </w:rPr>
        <w:t>налітична інформація щодо існуючої дебіторської заборгованості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п</w:t>
      </w:r>
      <w:r w:rsidRPr="00977AED">
        <w:rPr>
          <w:lang w:val="uk-UA"/>
        </w:rPr>
        <w:t>ерелік судових справ, за якими підприємство є позивачем та відповідачем,</w:t>
      </w:r>
      <w:r>
        <w:rPr>
          <w:lang w:val="uk-UA"/>
        </w:rPr>
        <w:t xml:space="preserve"> </w:t>
      </w:r>
      <w:r w:rsidRPr="00977AED">
        <w:rPr>
          <w:lang w:val="uk-UA"/>
        </w:rPr>
        <w:t>які не закінчені на останню звітну дату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п</w:t>
      </w:r>
      <w:r w:rsidRPr="00977AED">
        <w:rPr>
          <w:lang w:val="uk-UA"/>
        </w:rPr>
        <w:t>ерелік судових справ, за якими підприємство є позивачем та відповідачем,</w:t>
      </w:r>
      <w:r>
        <w:rPr>
          <w:lang w:val="uk-UA"/>
        </w:rPr>
        <w:t xml:space="preserve"> </w:t>
      </w:r>
      <w:r w:rsidRPr="00977AED">
        <w:rPr>
          <w:lang w:val="uk-UA"/>
        </w:rPr>
        <w:t>з яких прийнято судове рішення протягом звітного року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к</w:t>
      </w:r>
      <w:r w:rsidRPr="00977AED">
        <w:rPr>
          <w:lang w:val="uk-UA"/>
        </w:rPr>
        <w:t>опії судових рішень щодо підприємства, прийняті протягом звітного року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і</w:t>
      </w:r>
      <w:r w:rsidRPr="00977AED">
        <w:rPr>
          <w:lang w:val="uk-UA"/>
        </w:rPr>
        <w:t>нші документи, що визначаються необхідними з позицій професійного судження аудитора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i/>
          <w:lang w:val="uk-UA"/>
        </w:rPr>
      </w:pPr>
      <w:r w:rsidRPr="00977AED">
        <w:rPr>
          <w:i/>
          <w:lang w:val="uk-UA"/>
        </w:rPr>
        <w:t>–</w:t>
      </w:r>
      <w:r>
        <w:rPr>
          <w:i/>
          <w:lang w:val="uk-UA"/>
        </w:rPr>
        <w:t xml:space="preserve"> для</w:t>
      </w:r>
      <w:r w:rsidRPr="00977AED">
        <w:rPr>
          <w:i/>
          <w:lang w:val="uk-UA"/>
        </w:rPr>
        <w:t xml:space="preserve"> дослідження складу витрат</w:t>
      </w:r>
      <w:r>
        <w:rPr>
          <w:i/>
          <w:lang w:val="uk-UA"/>
        </w:rPr>
        <w:t>: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lang w:val="uk-UA"/>
        </w:rPr>
        <w:t>д</w:t>
      </w:r>
      <w:r w:rsidRPr="00977AED">
        <w:rPr>
          <w:lang w:val="uk-UA"/>
        </w:rPr>
        <w:t>оговори, які діяли протягом звітного податкового періоду: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 постачальниками (вітчизняними);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 постачальниками (імпорт);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 підрядниками;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lastRenderedPageBreak/>
        <w:t>кредитні;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оренди (в яких підприємство є орендарем);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застави;</w:t>
      </w:r>
    </w:p>
    <w:p w:rsidR="00513F23" w:rsidRPr="00977AED" w:rsidRDefault="00513F23" w:rsidP="00513F23">
      <w:pPr>
        <w:jc w:val="both"/>
        <w:rPr>
          <w:lang w:val="uk-UA"/>
        </w:rPr>
      </w:pPr>
      <w:r w:rsidRPr="00977AED">
        <w:rPr>
          <w:lang w:val="uk-UA"/>
        </w:rPr>
        <w:t>інші договори, за якими у підприємства виникають витрати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перелік та вартість запасів, за якими не було руху понад один рік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документи, на підставі яких проводилася переоцінка (уцінка) запасів та товарів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документи, на підставі яких проводилося списання запасів у межах норм</w:t>
      </w:r>
      <w:r>
        <w:rPr>
          <w:lang w:val="uk-UA"/>
        </w:rPr>
        <w:t xml:space="preserve"> </w:t>
      </w:r>
      <w:r w:rsidRPr="00977AED">
        <w:rPr>
          <w:lang w:val="uk-UA"/>
        </w:rPr>
        <w:t>природного убутку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аналітична інформація щодо існуючої кредиторської заборгованості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інші документи, що визначаються необхідними з позицій професійного судження аудитора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rFonts w:cs="Times New Roman"/>
          <w:i/>
          <w:szCs w:val="28"/>
          <w:lang w:val="uk-UA"/>
        </w:rPr>
      </w:pPr>
      <w:r w:rsidRPr="00977AED">
        <w:rPr>
          <w:rFonts w:cs="Times New Roman"/>
          <w:i/>
          <w:szCs w:val="28"/>
          <w:lang w:val="uk-UA"/>
        </w:rPr>
        <w:t xml:space="preserve">– </w:t>
      </w:r>
      <w:r>
        <w:rPr>
          <w:rFonts w:cs="Times New Roman"/>
          <w:i/>
          <w:szCs w:val="28"/>
          <w:lang w:val="uk-UA"/>
        </w:rPr>
        <w:t xml:space="preserve">для </w:t>
      </w:r>
      <w:r w:rsidRPr="00977AED">
        <w:rPr>
          <w:rFonts w:cs="Times New Roman"/>
          <w:i/>
          <w:szCs w:val="28"/>
          <w:lang w:val="uk-UA"/>
        </w:rPr>
        <w:t>дослідження складу операцій з основними засобами та нематеріальними активами</w:t>
      </w:r>
      <w:r>
        <w:rPr>
          <w:rFonts w:cs="Times New Roman"/>
          <w:i/>
          <w:szCs w:val="28"/>
          <w:lang w:val="uk-UA"/>
        </w:rPr>
        <w:t>: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перелік об’єктів обліку нематеріальних активів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первинні документи, що пов’язані з придбанням основних засобів протягом</w:t>
      </w:r>
      <w:r>
        <w:rPr>
          <w:lang w:val="uk-UA"/>
        </w:rPr>
        <w:t xml:space="preserve"> </w:t>
      </w:r>
      <w:r w:rsidRPr="00977AED">
        <w:rPr>
          <w:lang w:val="uk-UA"/>
        </w:rPr>
        <w:t>періоду, що перевіряється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аналітична інформація щодо операцій поліпшення основних засобів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аналітична інформація щодо об’єктів обліку незавершеного будівництва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аналітична інформація щодо складу об’єктів обліку основних засобів, які</w:t>
      </w:r>
      <w:r>
        <w:rPr>
          <w:lang w:val="uk-UA"/>
        </w:rPr>
        <w:t xml:space="preserve"> </w:t>
      </w:r>
      <w:r w:rsidRPr="00977AED">
        <w:rPr>
          <w:lang w:val="uk-UA"/>
        </w:rPr>
        <w:t>пов’язані з господарською діяльністю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перелік об’єктів основних засобів, які передано в оренду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перелік об’єктів основних засобів, які отримано в оренду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первинні документи, що пов’язані з вибуттям основних засобів протягом</w:t>
      </w:r>
      <w:r>
        <w:rPr>
          <w:lang w:val="uk-UA"/>
        </w:rPr>
        <w:t xml:space="preserve"> </w:t>
      </w:r>
      <w:r w:rsidRPr="00977AED">
        <w:rPr>
          <w:lang w:val="uk-UA"/>
        </w:rPr>
        <w:t>періоду, що перевіряється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перелік об’єктів основних засобів, які знаходяться на консервації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 w:rsidRPr="00977AED">
        <w:rPr>
          <w:lang w:val="uk-UA"/>
        </w:rPr>
        <w:t>балансова вартість об’єктів основних засобів, які не використовуються в</w:t>
      </w:r>
      <w:r>
        <w:rPr>
          <w:lang w:val="uk-UA"/>
        </w:rPr>
        <w:t xml:space="preserve"> </w:t>
      </w:r>
      <w:r w:rsidRPr="00977AED">
        <w:rPr>
          <w:lang w:val="uk-UA"/>
        </w:rPr>
        <w:t>господарській діяльності (не амортизуються в податковому обліку)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lastRenderedPageBreak/>
        <w:t xml:space="preserve">– </w:t>
      </w:r>
      <w:r>
        <w:rPr>
          <w:rFonts w:cs="Times New Roman"/>
          <w:szCs w:val="28"/>
          <w:lang w:val="uk-UA"/>
        </w:rPr>
        <w:t>д</w:t>
      </w:r>
      <w:r w:rsidRPr="00977AED">
        <w:rPr>
          <w:lang w:val="uk-UA"/>
        </w:rPr>
        <w:t>окументи, на підставі яких проводилася переоцінка основних засобів</w:t>
      </w:r>
      <w:r>
        <w:rPr>
          <w:lang w:val="uk-UA"/>
        </w:rPr>
        <w:t>;</w:t>
      </w:r>
    </w:p>
    <w:p w:rsidR="00513F23" w:rsidRPr="00977AED" w:rsidRDefault="00513F23" w:rsidP="00513F23">
      <w:pPr>
        <w:jc w:val="both"/>
        <w:rPr>
          <w:lang w:val="uk-UA"/>
        </w:rPr>
      </w:pPr>
      <w:r w:rsidRPr="00CF21A7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і</w:t>
      </w:r>
      <w:r w:rsidRPr="00977AED">
        <w:rPr>
          <w:lang w:val="uk-UA"/>
        </w:rPr>
        <w:t>нші документи, що визначаються необхідними з позицій професійного судження</w:t>
      </w:r>
      <w:r>
        <w:rPr>
          <w:lang w:val="uk-UA"/>
        </w:rPr>
        <w:t xml:space="preserve"> </w:t>
      </w:r>
      <w:r w:rsidRPr="00977AED">
        <w:rPr>
          <w:lang w:val="uk-UA"/>
        </w:rPr>
        <w:t>аудитора</w:t>
      </w:r>
      <w:r>
        <w:rPr>
          <w:lang w:val="uk-UA"/>
        </w:rPr>
        <w:t>.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</w:p>
    <w:p w:rsidR="00513F23" w:rsidRPr="001A0517" w:rsidRDefault="00513F23" w:rsidP="00513F23">
      <w:pPr>
        <w:jc w:val="both"/>
        <w:rPr>
          <w:rFonts w:cs="Times New Roman"/>
          <w:b/>
          <w:szCs w:val="28"/>
          <w:lang w:val="uk-UA"/>
        </w:rPr>
      </w:pPr>
      <w:r w:rsidRPr="001A0517">
        <w:rPr>
          <w:rFonts w:cs="Times New Roman"/>
          <w:b/>
          <w:szCs w:val="28"/>
          <w:lang w:val="uk-UA"/>
        </w:rPr>
        <w:t>2.3 Методика виконання процедур аудиторської перевірки податку на прибуток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Pr="004221F2">
        <w:rPr>
          <w:rFonts w:cs="Times New Roman"/>
          <w:szCs w:val="28"/>
          <w:lang w:val="uk-UA"/>
        </w:rPr>
        <w:t>удитор обов’язково повинен дослідити в зворотному порядку всі етапи формування кожного рядка декларації про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прибуток підприємства. І лише після цього він зможе сформувати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справді обґрунтоване судження й зробити свій висновок про інформацію у податковій звітності в цілому. З цією метою інформація, яка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міститься у декларації з податку на прибуток, розподіляється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сегменти (елементи):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доходи;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витрати;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оподатковуваний прибуток;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податок на прибуток.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Потім кожний сегмент (елемент) може бути розподілений на статті, зміст яких розкривається у відповідних додатках, статті, у свою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чергу, на рахунки бухгалтерського обліку і, нарешті, статті бухгалтерського обліку – на первинні документи, що були підставою для здійснення господарських операцій і формування оподатковуваних доходів та витрат, на які не може бути зменшений об’єкт оподаткування.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 xml:space="preserve">Описаний процес дістав назву </w:t>
      </w:r>
      <w:r>
        <w:rPr>
          <w:rFonts w:cs="Times New Roman"/>
          <w:szCs w:val="28"/>
          <w:lang w:val="uk-UA"/>
        </w:rPr>
        <w:t>«</w:t>
      </w:r>
      <w:proofErr w:type="spellStart"/>
      <w:r w:rsidRPr="004221F2">
        <w:rPr>
          <w:rFonts w:cs="Times New Roman"/>
          <w:szCs w:val="28"/>
          <w:lang w:val="uk-UA"/>
        </w:rPr>
        <w:t>дезагрегація</w:t>
      </w:r>
      <w:proofErr w:type="spellEnd"/>
      <w:r w:rsidRPr="004221F2">
        <w:rPr>
          <w:rFonts w:cs="Times New Roman"/>
          <w:szCs w:val="28"/>
          <w:lang w:val="uk-UA"/>
        </w:rPr>
        <w:t xml:space="preserve"> податкової декларації</w:t>
      </w:r>
      <w:r>
        <w:rPr>
          <w:rFonts w:cs="Times New Roman"/>
          <w:szCs w:val="28"/>
          <w:lang w:val="uk-UA"/>
        </w:rPr>
        <w:t>»</w:t>
      </w:r>
      <w:r w:rsidRPr="004221F2">
        <w:rPr>
          <w:rFonts w:cs="Times New Roman"/>
          <w:szCs w:val="28"/>
          <w:lang w:val="uk-UA"/>
        </w:rPr>
        <w:t xml:space="preserve">. На другому етапі </w:t>
      </w:r>
      <w:proofErr w:type="spellStart"/>
      <w:r w:rsidRPr="004221F2">
        <w:rPr>
          <w:rFonts w:cs="Times New Roman"/>
          <w:szCs w:val="28"/>
          <w:lang w:val="uk-UA"/>
        </w:rPr>
        <w:t>дезагрегації</w:t>
      </w:r>
      <w:proofErr w:type="spellEnd"/>
      <w:r w:rsidRPr="004221F2">
        <w:rPr>
          <w:rFonts w:cs="Times New Roman"/>
          <w:szCs w:val="28"/>
          <w:lang w:val="uk-UA"/>
        </w:rPr>
        <w:t xml:space="preserve"> податкової декларації необхідно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дослідити зміст кожного показника та встановити взаємозв’язок з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оборотами по рахунках бухгалтерського обліку, на яких накопичено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відповідну інформацію про доходи або витрати.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З цією метою в процесі аудиторської перевірки використовують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такий прийом, як складання пробної декларації</w:t>
      </w:r>
      <w:r>
        <w:rPr>
          <w:rFonts w:cs="Times New Roman"/>
          <w:szCs w:val="28"/>
          <w:lang w:val="uk-UA"/>
        </w:rPr>
        <w:t>. А</w:t>
      </w:r>
      <w:r w:rsidRPr="004221F2">
        <w:rPr>
          <w:rFonts w:cs="Times New Roman"/>
          <w:szCs w:val="28"/>
          <w:lang w:val="uk-UA"/>
        </w:rPr>
        <w:t xml:space="preserve">удитор формує показники </w:t>
      </w:r>
      <w:r w:rsidRPr="004221F2">
        <w:rPr>
          <w:rFonts w:cs="Times New Roman"/>
          <w:szCs w:val="28"/>
          <w:lang w:val="uk-UA"/>
        </w:rPr>
        <w:lastRenderedPageBreak/>
        <w:t>декларації, ґрунтуючись лише на сформованих оборотах на рахунках бухгалтерського обліку. Отриманий результат порівнюється з декларацією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 податок на прибуток підприємства, яка подана підприємством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для перевірки.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При складанні пробної декларації аудитор може отримати результат, що діагностуватиме: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правильність застосування рахунків бухгалтерського обліку;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показники декларації, які потребують коригувань внаслідок існування податкових різниць або наявності помилок.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 xml:space="preserve">На третьому етапі </w:t>
      </w:r>
      <w:proofErr w:type="spellStart"/>
      <w:r w:rsidRPr="004221F2">
        <w:rPr>
          <w:rFonts w:cs="Times New Roman"/>
          <w:szCs w:val="28"/>
          <w:lang w:val="uk-UA"/>
        </w:rPr>
        <w:t>дезагрегації</w:t>
      </w:r>
      <w:proofErr w:type="spellEnd"/>
      <w:r w:rsidRPr="004221F2">
        <w:rPr>
          <w:rFonts w:cs="Times New Roman"/>
          <w:szCs w:val="28"/>
          <w:lang w:val="uk-UA"/>
        </w:rPr>
        <w:t xml:space="preserve"> показників податкової звітності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проводиться поділ облікової інформації на рахунках бухгалтерського обліку на елементи, якими є господарські операції та відповідні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документи, що зафіксували факт здійснення таких операцій.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Дослідження господарських операцій на рівні первинних документів на відповідність їх принципам формування доходів та витрат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згідно з вимогами податкового законодавства спрямоване на перевірку аудитором змісту оборотів по рахунках, на яких відображена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та чи інша господарська операція. Таким чином, здійснюється оцінювання показника декларації, зміст якого визначається на підставі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інформації, яка обліковується на відповідному рахунку бухгалтерського обліку.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 xml:space="preserve">Процес </w:t>
      </w:r>
      <w:proofErr w:type="spellStart"/>
      <w:r w:rsidRPr="004221F2">
        <w:rPr>
          <w:rFonts w:cs="Times New Roman"/>
          <w:szCs w:val="28"/>
          <w:lang w:val="uk-UA"/>
        </w:rPr>
        <w:t>дезагрегації</w:t>
      </w:r>
      <w:proofErr w:type="spellEnd"/>
      <w:r w:rsidRPr="004221F2">
        <w:rPr>
          <w:rFonts w:cs="Times New Roman"/>
          <w:szCs w:val="28"/>
          <w:lang w:val="uk-UA"/>
        </w:rPr>
        <w:t xml:space="preserve"> звітності дістав назву </w:t>
      </w:r>
      <w:r>
        <w:rPr>
          <w:rFonts w:cs="Times New Roman"/>
          <w:szCs w:val="28"/>
          <w:lang w:val="uk-UA"/>
        </w:rPr>
        <w:t>«</w:t>
      </w:r>
      <w:r w:rsidRPr="004221F2">
        <w:rPr>
          <w:rFonts w:cs="Times New Roman"/>
          <w:szCs w:val="28"/>
          <w:lang w:val="uk-UA"/>
        </w:rPr>
        <w:t>сегментація аудиту</w:t>
      </w:r>
      <w:r>
        <w:rPr>
          <w:rFonts w:cs="Times New Roman"/>
          <w:szCs w:val="28"/>
          <w:lang w:val="uk-UA"/>
        </w:rPr>
        <w:t>»</w:t>
      </w:r>
      <w:r w:rsidRPr="004221F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 xml:space="preserve">В свою чергу, елементи, щодо яких проводитимуться процедури перевірки, мають назву – </w:t>
      </w:r>
      <w:r>
        <w:rPr>
          <w:rFonts w:cs="Times New Roman"/>
          <w:szCs w:val="28"/>
          <w:lang w:val="uk-UA"/>
        </w:rPr>
        <w:t>«</w:t>
      </w:r>
      <w:r w:rsidRPr="004221F2">
        <w:rPr>
          <w:rFonts w:cs="Times New Roman"/>
          <w:szCs w:val="28"/>
          <w:lang w:val="uk-UA"/>
        </w:rPr>
        <w:t>сегменти аудиту</w:t>
      </w:r>
      <w:r>
        <w:rPr>
          <w:rFonts w:cs="Times New Roman"/>
          <w:szCs w:val="28"/>
          <w:lang w:val="uk-UA"/>
        </w:rPr>
        <w:t>»</w:t>
      </w:r>
      <w:r w:rsidRPr="004221F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Сегментація галузі аудиту широко застосовується у практиці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аудиту фінансової звітності і пов’язана з визначенням господарських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циклів у їх взаємозв’язку з рахунками бухгалтерського обліку. Проте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вона також може бути інструментом організації процесу проведення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процедур аудиту податку на прибуток.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Різні дослідження з теорії і практики аудиту дещо по-різному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проводять сегментацію аудиту за господарськими циклами. Для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 xml:space="preserve">прикладу можна провести наступне групування сукупності господарських операцій </w:t>
      </w:r>
      <w:r w:rsidRPr="004221F2">
        <w:rPr>
          <w:rFonts w:cs="Times New Roman"/>
          <w:szCs w:val="28"/>
          <w:lang w:val="uk-UA"/>
        </w:rPr>
        <w:lastRenderedPageBreak/>
        <w:t>підприємства у такі взаємопов’язані цикли, які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також можуть використовуватись і в аудиті податку на прибуток: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цикл придбання та витрат;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виробничий цикл;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цикл реалізації та отримання доходів;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– фінансово-інвестиційний цикл.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Взаємозв’язок основних циклів господарських операцій формує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зміст фінансово-господарської діяльності підприємства</w:t>
      </w:r>
      <w:r>
        <w:rPr>
          <w:rFonts w:cs="Times New Roman"/>
          <w:szCs w:val="28"/>
          <w:lang w:val="uk-UA"/>
        </w:rPr>
        <w:t>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Визначення господарських циклів дає змогу застосовувати в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процесі аудиту метод направленого тестування. Метод направленого тестування в процесі проведення процедур аудиту податку на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прибуток базується на дослідженні кредитових оборотів на рахунках обліку операцій, пов’язаних з формуванням витрат, та дебетових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оборотів на рахунках обліку операцій, пов’язаних з формуванням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доходів, у взаємозв’язку з відповідними показниками декларації про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прибуток підприємства.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Визначення в циклах господарських операцій типових (однорідних) проведень та подальше їх направлене тестування дає змогу системно перевіряти зміст показників декларації з податку на прибуток</w:t>
      </w:r>
      <w:r>
        <w:rPr>
          <w:rFonts w:cs="Times New Roman"/>
          <w:szCs w:val="28"/>
          <w:lang w:val="uk-UA"/>
        </w:rPr>
        <w:t xml:space="preserve"> </w:t>
      </w:r>
      <w:r w:rsidRPr="004221F2">
        <w:rPr>
          <w:rFonts w:cs="Times New Roman"/>
          <w:szCs w:val="28"/>
          <w:lang w:val="uk-UA"/>
        </w:rPr>
        <w:t>підприємства та зменшити витрати часу на проведення процедур перевірки.</w:t>
      </w:r>
    </w:p>
    <w:p w:rsidR="00513F23" w:rsidRPr="004221F2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Для досягнення кінцевої мети аудиту податку на прибуток доцільно застосовувати підхід щодо проведення сегментації, який базується на дослідженні кредитових та дебетових оборотів по рахунках обліку у їх взаємозв’язку з відповідними показниками декларації з податку на прибуток.</w:t>
      </w:r>
    </w:p>
    <w:p w:rsidR="00513F23" w:rsidRDefault="00513F23" w:rsidP="00513F23">
      <w:pPr>
        <w:jc w:val="both"/>
        <w:rPr>
          <w:rFonts w:cs="Times New Roman"/>
          <w:szCs w:val="28"/>
          <w:lang w:val="uk-UA"/>
        </w:rPr>
      </w:pPr>
      <w:r w:rsidRPr="004221F2">
        <w:rPr>
          <w:rFonts w:cs="Times New Roman"/>
          <w:szCs w:val="28"/>
          <w:lang w:val="uk-UA"/>
        </w:rPr>
        <w:t>У процесі дослідження аудитор перевіряє витрати щодо завищення, а доходи – стосовно заниження.</w:t>
      </w:r>
    </w:p>
    <w:p w:rsidR="00513F23" w:rsidRDefault="00513F23" w:rsidP="00513F23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sectPr w:rsidR="00513F23" w:rsidSect="001E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46EC0"/>
    <w:rsid w:val="001E29B6"/>
    <w:rsid w:val="00513F23"/>
    <w:rsid w:val="00646EC0"/>
    <w:rsid w:val="00D0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13152</Characters>
  <Application>Microsoft Office Word</Application>
  <DocSecurity>0</DocSecurity>
  <Lines>109</Lines>
  <Paragraphs>30</Paragraphs>
  <ScaleCrop>false</ScaleCrop>
  <Company>Workgroup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2</cp:revision>
  <dcterms:created xsi:type="dcterms:W3CDTF">2020-09-16T12:43:00Z</dcterms:created>
  <dcterms:modified xsi:type="dcterms:W3CDTF">2020-09-16T12:45:00Z</dcterms:modified>
</cp:coreProperties>
</file>