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A8" w:rsidRDefault="00F76BA8" w:rsidP="00F76BA8">
      <w:pPr>
        <w:ind w:firstLine="0"/>
        <w:jc w:val="center"/>
        <w:rPr>
          <w:b/>
          <w:sz w:val="32"/>
          <w:szCs w:val="32"/>
          <w:lang w:val="uk-UA"/>
        </w:rPr>
      </w:pPr>
      <w:r>
        <w:rPr>
          <w:b/>
          <w:sz w:val="32"/>
          <w:szCs w:val="32"/>
          <w:lang w:val="uk-UA"/>
        </w:rPr>
        <w:t>Тема 7. Методика аудиту ресурсних податків</w:t>
      </w:r>
    </w:p>
    <w:p w:rsidR="00F76BA8" w:rsidRDefault="00F76BA8" w:rsidP="00F76BA8">
      <w:pPr>
        <w:jc w:val="center"/>
        <w:rPr>
          <w:rFonts w:cs="Times New Roman"/>
          <w:szCs w:val="28"/>
          <w:lang w:val="uk-UA"/>
        </w:rPr>
      </w:pPr>
      <w:r>
        <w:rPr>
          <w:rFonts w:cs="Times New Roman"/>
          <w:szCs w:val="28"/>
          <w:lang w:val="uk-UA"/>
        </w:rPr>
        <w:t>План</w:t>
      </w:r>
    </w:p>
    <w:p w:rsidR="00F76BA8" w:rsidRDefault="00F76BA8" w:rsidP="00F76BA8">
      <w:pPr>
        <w:jc w:val="both"/>
        <w:rPr>
          <w:rFonts w:cs="Times New Roman"/>
          <w:szCs w:val="28"/>
          <w:lang w:val="uk-UA"/>
        </w:rPr>
      </w:pPr>
      <w:r>
        <w:rPr>
          <w:rFonts w:cs="Times New Roman"/>
          <w:szCs w:val="28"/>
          <w:lang w:val="uk-UA"/>
        </w:rPr>
        <w:t>7.1 Методика аудиту плати за землю</w:t>
      </w:r>
    </w:p>
    <w:p w:rsidR="00F76BA8" w:rsidRDefault="00F76BA8" w:rsidP="00F76BA8">
      <w:pPr>
        <w:jc w:val="both"/>
        <w:rPr>
          <w:rFonts w:cs="Times New Roman"/>
          <w:szCs w:val="28"/>
          <w:lang w:val="uk-UA"/>
        </w:rPr>
      </w:pPr>
      <w:r>
        <w:rPr>
          <w:rFonts w:cs="Times New Roman"/>
          <w:szCs w:val="28"/>
          <w:lang w:val="uk-UA"/>
        </w:rPr>
        <w:t xml:space="preserve">7.2 Методика аудиту збору за спеціальне використання лісових ресурсів </w:t>
      </w:r>
    </w:p>
    <w:p w:rsidR="00F76BA8" w:rsidRDefault="00F76BA8" w:rsidP="00F76BA8">
      <w:pPr>
        <w:jc w:val="both"/>
        <w:rPr>
          <w:rFonts w:cs="Times New Roman"/>
          <w:szCs w:val="28"/>
          <w:lang w:val="uk-UA"/>
        </w:rPr>
      </w:pPr>
      <w:r>
        <w:rPr>
          <w:rFonts w:cs="Times New Roman"/>
          <w:szCs w:val="28"/>
          <w:lang w:val="uk-UA"/>
        </w:rPr>
        <w:t>7.3 Методика аудиту збору за спеціальне використання води</w:t>
      </w:r>
    </w:p>
    <w:p w:rsidR="00F76BA8" w:rsidRDefault="00F76BA8" w:rsidP="00F76BA8">
      <w:pPr>
        <w:jc w:val="both"/>
        <w:rPr>
          <w:rFonts w:cs="Times New Roman"/>
          <w:szCs w:val="28"/>
          <w:lang w:val="uk-UA"/>
        </w:rPr>
      </w:pPr>
      <w:r>
        <w:rPr>
          <w:rFonts w:cs="Times New Roman"/>
          <w:szCs w:val="28"/>
          <w:lang w:val="uk-UA"/>
        </w:rPr>
        <w:t>7.4 Методика аудиту екологічного податку</w:t>
      </w:r>
    </w:p>
    <w:p w:rsidR="00F76BA8" w:rsidRDefault="00F76BA8" w:rsidP="00F76BA8">
      <w:pPr>
        <w:jc w:val="both"/>
        <w:rPr>
          <w:rFonts w:cs="Times New Roman"/>
          <w:szCs w:val="28"/>
          <w:lang w:val="uk-UA"/>
        </w:rPr>
      </w:pPr>
    </w:p>
    <w:p w:rsidR="00F76BA8" w:rsidRDefault="00F76BA8" w:rsidP="00F76BA8">
      <w:pPr>
        <w:jc w:val="both"/>
        <w:rPr>
          <w:rFonts w:cs="Times New Roman"/>
          <w:b/>
          <w:szCs w:val="28"/>
          <w:lang w:val="uk-UA"/>
        </w:rPr>
      </w:pPr>
      <w:r>
        <w:rPr>
          <w:rFonts w:cs="Times New Roman"/>
          <w:b/>
          <w:szCs w:val="28"/>
          <w:lang w:val="uk-UA"/>
        </w:rPr>
        <w:t>7.1 Методика аудиту плати за землю</w:t>
      </w:r>
    </w:p>
    <w:p w:rsidR="00F76BA8" w:rsidRDefault="00F76BA8" w:rsidP="00F76BA8">
      <w:pPr>
        <w:jc w:val="both"/>
        <w:rPr>
          <w:rFonts w:cs="Times New Roman"/>
          <w:szCs w:val="28"/>
          <w:lang w:val="uk-UA"/>
        </w:rPr>
      </w:pPr>
      <w:r>
        <w:rPr>
          <w:rFonts w:cs="Times New Roman"/>
          <w:szCs w:val="28"/>
          <w:lang w:val="uk-UA"/>
        </w:rPr>
        <w:t>Основними нормативними документами, які слід використовувати при проведенні аудиту плати за землю, є:</w:t>
      </w:r>
    </w:p>
    <w:p w:rsidR="00F76BA8" w:rsidRDefault="00F76BA8" w:rsidP="00F76BA8">
      <w:pPr>
        <w:jc w:val="both"/>
        <w:rPr>
          <w:rFonts w:cs="Times New Roman"/>
          <w:szCs w:val="28"/>
          <w:lang w:val="uk-UA"/>
        </w:rPr>
      </w:pPr>
      <w:r>
        <w:rPr>
          <w:rFonts w:cs="Times New Roman"/>
          <w:szCs w:val="28"/>
          <w:lang w:val="uk-UA"/>
        </w:rPr>
        <w:t>1. Податковий кодекс України від 02.12.2010 № 2755-VII.</w:t>
      </w:r>
    </w:p>
    <w:p w:rsidR="00F76BA8" w:rsidRDefault="00F76BA8" w:rsidP="00F76BA8">
      <w:pPr>
        <w:jc w:val="both"/>
        <w:rPr>
          <w:rFonts w:cs="Times New Roman"/>
          <w:szCs w:val="28"/>
          <w:lang w:val="uk-UA"/>
        </w:rPr>
      </w:pPr>
      <w:r>
        <w:rPr>
          <w:rFonts w:cs="Times New Roman"/>
          <w:szCs w:val="28"/>
          <w:lang w:val="uk-UA"/>
        </w:rPr>
        <w:t>2. Земельний кодекс України від 25.10.2011 № 2768-ІІІ.</w:t>
      </w:r>
    </w:p>
    <w:p w:rsidR="00F76BA8" w:rsidRDefault="00F76BA8" w:rsidP="00F76BA8">
      <w:pPr>
        <w:jc w:val="both"/>
        <w:rPr>
          <w:rFonts w:cs="Times New Roman"/>
          <w:szCs w:val="28"/>
          <w:lang w:val="uk-UA"/>
        </w:rPr>
      </w:pPr>
      <w:r>
        <w:rPr>
          <w:rFonts w:cs="Times New Roman"/>
          <w:szCs w:val="28"/>
          <w:lang w:val="uk-UA"/>
        </w:rPr>
        <w:t>3. Наказ Державної податкової служби України «Про затвердження форми Податкової декларації з плати за землю (земельний податок та/або орендна плата за земельні ділянки державної або комунальної власності)» від 16.06.2015 № 560.</w:t>
      </w:r>
    </w:p>
    <w:p w:rsidR="00F76BA8" w:rsidRDefault="00F76BA8" w:rsidP="00F76BA8">
      <w:pPr>
        <w:jc w:val="both"/>
        <w:rPr>
          <w:rFonts w:cs="Times New Roman"/>
          <w:szCs w:val="28"/>
          <w:lang w:val="uk-UA"/>
        </w:rPr>
      </w:pPr>
      <w:r>
        <w:rPr>
          <w:rFonts w:cs="Times New Roman"/>
          <w:szCs w:val="28"/>
          <w:lang w:val="uk-UA"/>
        </w:rPr>
        <w:t>4. Порядок нормативної грошової оцінки земель сільськогосподарського призначення від 23.05.2017 № 262.</w:t>
      </w:r>
    </w:p>
    <w:p w:rsidR="00F76BA8" w:rsidRDefault="00F76BA8" w:rsidP="00F76BA8">
      <w:pPr>
        <w:jc w:val="both"/>
        <w:rPr>
          <w:rFonts w:cs="Times New Roman"/>
          <w:szCs w:val="28"/>
          <w:lang w:val="uk-UA"/>
        </w:rPr>
      </w:pPr>
      <w:r>
        <w:rPr>
          <w:rFonts w:cs="Times New Roman"/>
          <w:szCs w:val="28"/>
          <w:lang w:val="uk-UA"/>
        </w:rPr>
        <w:t>5. Порядок нормативної грошової оцінки земель населених пунктів від 27.01.2006 № 19/16/22/11/17/12.</w:t>
      </w:r>
    </w:p>
    <w:p w:rsidR="00F76BA8" w:rsidRDefault="00F76BA8" w:rsidP="00F76BA8">
      <w:pPr>
        <w:jc w:val="both"/>
        <w:rPr>
          <w:rFonts w:cs="Times New Roman"/>
          <w:szCs w:val="28"/>
          <w:lang w:val="uk-UA"/>
        </w:rPr>
      </w:pPr>
      <w:r>
        <w:rPr>
          <w:rFonts w:cs="Times New Roman"/>
          <w:szCs w:val="28"/>
          <w:lang w:val="uk-UA"/>
        </w:rPr>
        <w:t>6. Постанова Кабінету Міністрів України «Про затвердження Методики визначення мінімальної суми орендного платежу за нерухоме майно фізичних осіб» від 25.11.2016 № 489.</w:t>
      </w:r>
    </w:p>
    <w:p w:rsidR="00F76BA8" w:rsidRDefault="00F76BA8" w:rsidP="00F76BA8">
      <w:pPr>
        <w:jc w:val="both"/>
        <w:rPr>
          <w:rFonts w:cs="Times New Roman"/>
          <w:szCs w:val="28"/>
          <w:lang w:val="uk-UA"/>
        </w:rPr>
      </w:pPr>
      <w:r>
        <w:rPr>
          <w:rFonts w:cs="Times New Roman"/>
          <w:szCs w:val="28"/>
          <w:lang w:val="uk-UA"/>
        </w:rPr>
        <w:t>7. Класифікація видів цільового призначення земель, затверджена наказом Державного комітету України із земельних ресурсів від 23.07.2010 № 548.</w:t>
      </w:r>
    </w:p>
    <w:p w:rsidR="00F76BA8" w:rsidRDefault="00F76BA8" w:rsidP="00F76BA8">
      <w:pPr>
        <w:jc w:val="both"/>
        <w:rPr>
          <w:rFonts w:cs="Times New Roman"/>
          <w:szCs w:val="28"/>
          <w:lang w:val="uk-UA"/>
        </w:rPr>
      </w:pPr>
      <w:r>
        <w:rPr>
          <w:rFonts w:cs="Times New Roman"/>
          <w:szCs w:val="28"/>
          <w:lang w:val="uk-UA"/>
        </w:rPr>
        <w:t>8. Рішення Верховної Ради Автономної Республіки Крим, обласних, міських, селищних та сільських рад щодо пільг по земельному податку стосовно конкретних видів земельних ділянок.</w:t>
      </w:r>
    </w:p>
    <w:p w:rsidR="00F76BA8" w:rsidRDefault="00F76BA8" w:rsidP="00F76BA8">
      <w:pPr>
        <w:jc w:val="both"/>
        <w:rPr>
          <w:rFonts w:cs="Times New Roman"/>
          <w:szCs w:val="28"/>
          <w:lang w:val="uk-UA"/>
        </w:rPr>
      </w:pPr>
      <w:r>
        <w:rPr>
          <w:rFonts w:cs="Times New Roman"/>
          <w:szCs w:val="28"/>
          <w:lang w:val="uk-UA"/>
        </w:rPr>
        <w:lastRenderedPageBreak/>
        <w:t>При проведенні аудиту плати за землю аудитор повинен враховувати, що фактично цей податок представлений двома видами: безпосередньо земельним податком та орендною платою за земельні ділянки державної або комунальної власності.</w:t>
      </w:r>
    </w:p>
    <w:p w:rsidR="00F76BA8" w:rsidRDefault="00F76BA8" w:rsidP="00F76BA8">
      <w:pPr>
        <w:jc w:val="both"/>
        <w:rPr>
          <w:rFonts w:cs="Times New Roman"/>
          <w:szCs w:val="28"/>
          <w:lang w:val="uk-UA"/>
        </w:rPr>
      </w:pPr>
      <w:r>
        <w:rPr>
          <w:rFonts w:cs="Times New Roman"/>
          <w:szCs w:val="28"/>
          <w:lang w:val="uk-UA"/>
        </w:rPr>
        <w:t>Основні етапи аудиту плати за землю можна представити так:</w:t>
      </w:r>
    </w:p>
    <w:p w:rsidR="00F76BA8" w:rsidRDefault="00F76BA8" w:rsidP="00F76BA8">
      <w:pPr>
        <w:jc w:val="both"/>
        <w:rPr>
          <w:rFonts w:cs="Times New Roman"/>
          <w:szCs w:val="28"/>
          <w:lang w:val="uk-UA"/>
        </w:rPr>
      </w:pPr>
      <w:r>
        <w:rPr>
          <w:rFonts w:cs="Times New Roman"/>
          <w:szCs w:val="28"/>
          <w:lang w:val="uk-UA"/>
        </w:rPr>
        <w:t>– перевірка правильності віднесення суб’єкта підприємницької діяльності до категорії платників плати за землю, які в ПКУ представлені двома категоріями: власники земельних ділянок, земельних часток (паїв) та землекористувачі (ст. 269 ПКУ);</w:t>
      </w:r>
    </w:p>
    <w:p w:rsidR="00F76BA8" w:rsidRDefault="00F76BA8" w:rsidP="00F76BA8">
      <w:pPr>
        <w:jc w:val="both"/>
        <w:rPr>
          <w:rFonts w:cs="Times New Roman"/>
          <w:szCs w:val="28"/>
          <w:lang w:val="uk-UA"/>
        </w:rPr>
      </w:pPr>
      <w:r>
        <w:rPr>
          <w:rFonts w:cs="Times New Roman"/>
          <w:szCs w:val="28"/>
          <w:lang w:val="uk-UA"/>
        </w:rPr>
        <w:t>– перевірка повноти та правильності визначення об’єкта оподаткування та бази оподаткування, враховуючи її цільове призначення, місцезнаходження, площу, наявність/відсутність нормативної грошової оцінки та необхідності її індексації, наявність рішень відповідних місцевих рад щодо нормативної грошової оцінки земельних ділянок, яку планується застосовувати в плановому бюджетному періоді, та дати їх офіційного оприлюднення (статті 271–280, 289 ПКУ);</w:t>
      </w:r>
    </w:p>
    <w:p w:rsidR="00F76BA8" w:rsidRDefault="00F76BA8" w:rsidP="00F76BA8">
      <w:pPr>
        <w:jc w:val="both"/>
        <w:rPr>
          <w:rFonts w:cs="Times New Roman"/>
          <w:szCs w:val="28"/>
          <w:lang w:val="uk-UA"/>
        </w:rPr>
      </w:pPr>
      <w:r>
        <w:rPr>
          <w:rFonts w:cs="Times New Roman"/>
          <w:szCs w:val="28"/>
          <w:lang w:val="uk-UA"/>
        </w:rPr>
        <w:t>– оцінка правильності застосування ставок плати за землю залежно від категорії земель (статті 271–280, 289 ПКУ), з урахуванням наявності рішень відповідних місцевих рад щодо затвердження ставок податку на земельні ділянки, та дати їх офіційного оприлюднення (пп. 275.3.1 ПКУ);</w:t>
      </w:r>
    </w:p>
    <w:p w:rsidR="00F76BA8" w:rsidRDefault="00F76BA8" w:rsidP="00F76BA8">
      <w:pPr>
        <w:jc w:val="both"/>
        <w:rPr>
          <w:rFonts w:cs="Times New Roman"/>
          <w:szCs w:val="28"/>
          <w:lang w:val="uk-UA"/>
        </w:rPr>
      </w:pPr>
      <w:r>
        <w:rPr>
          <w:rFonts w:cs="Times New Roman"/>
          <w:szCs w:val="28"/>
          <w:lang w:val="uk-UA"/>
        </w:rPr>
        <w:t>– перевірка обґрунтованості застосування пільг з податку, які включають перелік фізичних та юридичних осіб певних категорій, які звільняються від сплати податку, та перелік земельних ділянок, які не підлягають оподаткуванню, з урахуванням того, що такі пільги згідно з п. 284.1 можуть встановлювати Верховна Рада Автономної Республіки Крим, обласні, міські, селищні та сільські ради (статті 281–284 ПКУ);</w:t>
      </w:r>
    </w:p>
    <w:p w:rsidR="00F76BA8" w:rsidRDefault="00F76BA8" w:rsidP="00F76BA8">
      <w:pPr>
        <w:jc w:val="both"/>
        <w:rPr>
          <w:rFonts w:cs="Times New Roman"/>
          <w:szCs w:val="28"/>
          <w:lang w:val="uk-UA"/>
        </w:rPr>
      </w:pPr>
      <w:r>
        <w:rPr>
          <w:rFonts w:cs="Times New Roman"/>
          <w:szCs w:val="28"/>
          <w:lang w:val="uk-UA"/>
        </w:rPr>
        <w:t>– перевірка порядку обчислення плати за землю та його розподілу у випадках, коли на земельній ділянці розташована будівля, яка знаходиться у спільній власності кількох юридичних або фізичних осіб, або у користуванні кількох юридичних або фізичних осіб (статті 286, 287 ПКУ);</w:t>
      </w:r>
    </w:p>
    <w:p w:rsidR="00F76BA8" w:rsidRDefault="00F76BA8" w:rsidP="00F76BA8">
      <w:pPr>
        <w:jc w:val="both"/>
        <w:rPr>
          <w:rFonts w:cs="Times New Roman"/>
          <w:szCs w:val="28"/>
          <w:lang w:val="uk-UA"/>
        </w:rPr>
      </w:pPr>
      <w:r>
        <w:rPr>
          <w:rFonts w:cs="Times New Roman"/>
          <w:szCs w:val="28"/>
          <w:lang w:val="uk-UA"/>
        </w:rPr>
        <w:lastRenderedPageBreak/>
        <w:t>– перевірка порядку обчислення орендної плати за земельну ділянку (ст. 288 ПКУ);</w:t>
      </w:r>
    </w:p>
    <w:p w:rsidR="00F76BA8" w:rsidRDefault="00F76BA8" w:rsidP="00F76BA8">
      <w:pPr>
        <w:jc w:val="both"/>
        <w:rPr>
          <w:rFonts w:cs="Times New Roman"/>
          <w:szCs w:val="28"/>
          <w:lang w:val="uk-UA"/>
        </w:rPr>
      </w:pPr>
      <w:r>
        <w:rPr>
          <w:rFonts w:cs="Times New Roman"/>
          <w:szCs w:val="28"/>
          <w:lang w:val="uk-UA"/>
        </w:rPr>
        <w:t>– перевірка правильності складання та своєчасності надання податкової декларації з плати за землю, з огляду на те, що ПКУ передбачено можливість вибору між поданням податкової декларації на поточний рік до 20 лютого поточного року та поданням щомісяця нових звітних податкових декларацій протягом 20 календарних днів місяця, що настає за звітним (ст. 286 ПКУ);</w:t>
      </w:r>
    </w:p>
    <w:p w:rsidR="00F76BA8" w:rsidRDefault="00F76BA8" w:rsidP="00F76BA8">
      <w:pPr>
        <w:jc w:val="both"/>
        <w:rPr>
          <w:rFonts w:cs="Times New Roman"/>
          <w:szCs w:val="28"/>
          <w:lang w:val="uk-UA"/>
        </w:rPr>
      </w:pPr>
      <w:r>
        <w:rPr>
          <w:rFonts w:cs="Times New Roman"/>
          <w:szCs w:val="28"/>
          <w:lang w:val="uk-UA"/>
        </w:rPr>
        <w:t>– перевірка своєчасності та повноти сплати земельного податку та орендної плати за земельні ділянки державної та комунальної власності;</w:t>
      </w:r>
    </w:p>
    <w:p w:rsidR="00F76BA8" w:rsidRDefault="00F76BA8" w:rsidP="00F76BA8">
      <w:pPr>
        <w:jc w:val="both"/>
        <w:rPr>
          <w:rFonts w:cs="Times New Roman"/>
          <w:szCs w:val="28"/>
          <w:lang w:val="uk-UA"/>
        </w:rPr>
      </w:pPr>
      <w:r>
        <w:rPr>
          <w:rFonts w:cs="Times New Roman"/>
          <w:szCs w:val="28"/>
          <w:lang w:val="uk-UA"/>
        </w:rPr>
        <w:t>– перевірка правильності самостійного виправлення помилок, допущених при обчисленні та сплаті плати за землю у минулих звітних періодах.</w:t>
      </w:r>
    </w:p>
    <w:p w:rsidR="00F76BA8" w:rsidRDefault="00F76BA8" w:rsidP="00F76BA8">
      <w:pPr>
        <w:jc w:val="both"/>
        <w:rPr>
          <w:rFonts w:cs="Times New Roman"/>
          <w:szCs w:val="28"/>
          <w:lang w:val="uk-UA"/>
        </w:rPr>
      </w:pPr>
      <w:r>
        <w:rPr>
          <w:rFonts w:cs="Times New Roman"/>
          <w:szCs w:val="28"/>
          <w:lang w:val="uk-UA"/>
        </w:rPr>
        <w:t>У випадку якщо плата за землю сплачується у вигляді орендної плати за земельну ділянку, аудитор основну увагу повинен приділити перевірці визначення розміру орендної плати, яка встановлюється в договорі оренди. Така перевірка передбачає встановлення факту дотримання мінімальних та максимальних обмежень стосовно розміру орендної плати, які ув’язуються із розміром земельного податку для конкретних категорій земель та її нормативною грошовою оцінкою.</w:t>
      </w:r>
    </w:p>
    <w:p w:rsidR="00F76BA8" w:rsidRDefault="00F76BA8" w:rsidP="00F76BA8">
      <w:pPr>
        <w:jc w:val="both"/>
        <w:rPr>
          <w:rFonts w:cs="Times New Roman"/>
          <w:szCs w:val="28"/>
          <w:lang w:val="uk-UA"/>
        </w:rPr>
      </w:pPr>
      <w:r>
        <w:rPr>
          <w:rFonts w:cs="Times New Roman"/>
          <w:szCs w:val="28"/>
          <w:lang w:val="uk-UA"/>
        </w:rPr>
        <w:t>Типовими помилками при нарахуванні та сплаті плати за землю та орендної плати за земельні ділянки державної або комунальної власності є:</w:t>
      </w:r>
    </w:p>
    <w:p w:rsidR="00F76BA8" w:rsidRDefault="00F76BA8" w:rsidP="00F76BA8">
      <w:pPr>
        <w:jc w:val="both"/>
        <w:rPr>
          <w:rFonts w:cs="Times New Roman"/>
          <w:szCs w:val="28"/>
          <w:lang w:val="uk-UA"/>
        </w:rPr>
      </w:pPr>
      <w:r>
        <w:rPr>
          <w:rFonts w:cs="Times New Roman"/>
          <w:szCs w:val="28"/>
          <w:lang w:val="uk-UA"/>
        </w:rPr>
        <w:t>– порушення у визначенні ставки податку залежно від характеристик земельних ділянок, які підлягають оподаткуванню платою за землю; – неправильне визначення нормативної грошової оцінки земельних ділянок та коефіцієнта індексації, помилки при перерахунку нормативної грошової оцінки земельних ділянок з урахуванням коефіцієнта індексації;</w:t>
      </w:r>
    </w:p>
    <w:p w:rsidR="00F76BA8" w:rsidRDefault="00F76BA8" w:rsidP="00F76BA8">
      <w:pPr>
        <w:jc w:val="both"/>
        <w:rPr>
          <w:rFonts w:cs="Times New Roman"/>
          <w:szCs w:val="28"/>
          <w:lang w:val="uk-UA"/>
        </w:rPr>
      </w:pPr>
      <w:r>
        <w:rPr>
          <w:rFonts w:cs="Times New Roman"/>
          <w:szCs w:val="28"/>
          <w:lang w:val="uk-UA"/>
        </w:rPr>
        <w:t>– порушення при визначенні площі земельних ділянок, за якими нормативної грошової оцінки не проведено;</w:t>
      </w:r>
    </w:p>
    <w:p w:rsidR="00F76BA8" w:rsidRDefault="00F76BA8" w:rsidP="00F76BA8">
      <w:pPr>
        <w:jc w:val="both"/>
        <w:rPr>
          <w:rFonts w:cs="Times New Roman"/>
          <w:szCs w:val="28"/>
          <w:lang w:val="uk-UA"/>
        </w:rPr>
      </w:pPr>
      <w:r>
        <w:rPr>
          <w:rFonts w:cs="Times New Roman"/>
          <w:szCs w:val="28"/>
          <w:lang w:val="uk-UA"/>
        </w:rPr>
        <w:lastRenderedPageBreak/>
        <w:t>– помилки при розподілі податку за земельну ділянку, на якій розташована будівля, що перебуває у спільній власності або у користуванні кількох юридичних або фізичних осіб;</w:t>
      </w:r>
    </w:p>
    <w:p w:rsidR="00F76BA8" w:rsidRDefault="00F76BA8" w:rsidP="00F76BA8">
      <w:pPr>
        <w:jc w:val="both"/>
        <w:rPr>
          <w:rFonts w:cs="Times New Roman"/>
          <w:szCs w:val="28"/>
          <w:lang w:val="uk-UA"/>
        </w:rPr>
      </w:pPr>
      <w:r>
        <w:rPr>
          <w:rFonts w:cs="Times New Roman"/>
          <w:szCs w:val="28"/>
          <w:lang w:val="uk-UA"/>
        </w:rPr>
        <w:t xml:space="preserve">– неподання податкової декларації за </w:t>
      </w:r>
      <w:proofErr w:type="spellStart"/>
      <w:r>
        <w:rPr>
          <w:rFonts w:cs="Times New Roman"/>
          <w:szCs w:val="28"/>
          <w:lang w:val="uk-UA"/>
        </w:rPr>
        <w:t>нововідведені</w:t>
      </w:r>
      <w:proofErr w:type="spellEnd"/>
      <w:r>
        <w:rPr>
          <w:rFonts w:cs="Times New Roman"/>
          <w:szCs w:val="28"/>
          <w:lang w:val="uk-UA"/>
        </w:rPr>
        <w:t xml:space="preserve"> земельні ділянки, за новоукладеними договорами оренди або при зміні об’єкта та/або бази оподаткування;</w:t>
      </w:r>
    </w:p>
    <w:p w:rsidR="00F76BA8" w:rsidRDefault="00F76BA8" w:rsidP="00F76BA8">
      <w:pPr>
        <w:jc w:val="both"/>
        <w:rPr>
          <w:rFonts w:cs="Times New Roman"/>
          <w:szCs w:val="28"/>
          <w:lang w:val="uk-UA"/>
        </w:rPr>
      </w:pPr>
      <w:r>
        <w:rPr>
          <w:rFonts w:cs="Times New Roman"/>
          <w:szCs w:val="28"/>
          <w:lang w:val="uk-UA"/>
        </w:rPr>
        <w:t>– порушення при щомісячних платежах плати за землю;</w:t>
      </w:r>
    </w:p>
    <w:p w:rsidR="00F76BA8" w:rsidRDefault="00F76BA8" w:rsidP="00F76BA8">
      <w:pPr>
        <w:jc w:val="both"/>
        <w:rPr>
          <w:rFonts w:cs="Times New Roman"/>
          <w:szCs w:val="28"/>
          <w:lang w:val="uk-UA"/>
        </w:rPr>
      </w:pPr>
      <w:r>
        <w:rPr>
          <w:rFonts w:cs="Times New Roman"/>
          <w:szCs w:val="28"/>
          <w:lang w:val="uk-UA"/>
        </w:rPr>
        <w:t>– порушення умов щодо мінімальних та максимальних розмірів орендної плати.</w:t>
      </w:r>
    </w:p>
    <w:p w:rsidR="00F76BA8" w:rsidRDefault="00F76BA8" w:rsidP="00F76BA8">
      <w:pPr>
        <w:jc w:val="both"/>
        <w:rPr>
          <w:rFonts w:cs="Times New Roman"/>
          <w:szCs w:val="28"/>
          <w:lang w:val="uk-UA"/>
        </w:rPr>
      </w:pPr>
    </w:p>
    <w:p w:rsidR="00F76BA8" w:rsidRDefault="00F76BA8" w:rsidP="00F76BA8">
      <w:pPr>
        <w:jc w:val="both"/>
        <w:rPr>
          <w:rFonts w:cs="Times New Roman"/>
          <w:szCs w:val="28"/>
          <w:lang w:val="uk-UA"/>
        </w:rPr>
      </w:pPr>
      <w:r>
        <w:rPr>
          <w:rFonts w:cs="Times New Roman"/>
          <w:b/>
          <w:szCs w:val="28"/>
          <w:lang w:val="uk-UA"/>
        </w:rPr>
        <w:t>7.2 Методика аудиту збору за спеціальне використання лісових ресурсів</w:t>
      </w:r>
      <w:r>
        <w:rPr>
          <w:rFonts w:cs="Times New Roman"/>
          <w:szCs w:val="28"/>
          <w:lang w:val="uk-UA"/>
        </w:rPr>
        <w:t xml:space="preserve"> </w:t>
      </w:r>
    </w:p>
    <w:p w:rsidR="00F76BA8" w:rsidRDefault="00F76BA8" w:rsidP="00F76BA8">
      <w:pPr>
        <w:jc w:val="both"/>
        <w:rPr>
          <w:rFonts w:cs="Times New Roman"/>
          <w:szCs w:val="28"/>
          <w:lang w:val="uk-UA"/>
        </w:rPr>
      </w:pPr>
      <w:r>
        <w:rPr>
          <w:rFonts w:cs="Times New Roman"/>
          <w:szCs w:val="28"/>
          <w:lang w:val="uk-UA"/>
        </w:rPr>
        <w:t>Основними нормативними документами, які слід використовувати при проведенні аудиту збору за спеціальне використання лісових ресурсів, є:</w:t>
      </w:r>
    </w:p>
    <w:p w:rsidR="00F76BA8" w:rsidRDefault="00F76BA8" w:rsidP="00F76BA8">
      <w:pPr>
        <w:jc w:val="both"/>
        <w:rPr>
          <w:rFonts w:cs="Times New Roman"/>
          <w:szCs w:val="28"/>
          <w:lang w:val="uk-UA"/>
        </w:rPr>
      </w:pPr>
      <w:r>
        <w:rPr>
          <w:rFonts w:cs="Times New Roman"/>
          <w:szCs w:val="28"/>
          <w:lang w:val="uk-UA"/>
        </w:rPr>
        <w:t>1. Податковий кодекс України від 02.12.2010 № 2755-VII.</w:t>
      </w:r>
    </w:p>
    <w:p w:rsidR="00F76BA8" w:rsidRDefault="00F76BA8" w:rsidP="00F76BA8">
      <w:pPr>
        <w:jc w:val="both"/>
        <w:rPr>
          <w:rFonts w:cs="Times New Roman"/>
          <w:szCs w:val="28"/>
          <w:lang w:val="uk-UA"/>
        </w:rPr>
      </w:pPr>
      <w:r>
        <w:rPr>
          <w:rFonts w:cs="Times New Roman"/>
          <w:szCs w:val="28"/>
          <w:lang w:val="uk-UA"/>
        </w:rPr>
        <w:t>2. Лісовий кодекс України від 21.01.1994 № 3852-ХІІ.</w:t>
      </w:r>
    </w:p>
    <w:p w:rsidR="00F76BA8" w:rsidRDefault="00F76BA8" w:rsidP="00F76BA8">
      <w:pPr>
        <w:jc w:val="both"/>
        <w:rPr>
          <w:rFonts w:cs="Times New Roman"/>
          <w:szCs w:val="28"/>
          <w:lang w:val="uk-UA"/>
        </w:rPr>
      </w:pPr>
      <w:r>
        <w:rPr>
          <w:rFonts w:cs="Times New Roman"/>
          <w:szCs w:val="28"/>
          <w:lang w:val="uk-UA"/>
        </w:rPr>
        <w:t>3. Порядок спеціального використання лісових ресурсів, затверджений постановою Кабінету Міністрів України від 23.05.2007 № 761.</w:t>
      </w:r>
    </w:p>
    <w:p w:rsidR="00F76BA8" w:rsidRDefault="00F76BA8" w:rsidP="00F76BA8">
      <w:pPr>
        <w:jc w:val="both"/>
        <w:rPr>
          <w:rFonts w:cs="Times New Roman"/>
          <w:szCs w:val="28"/>
          <w:lang w:val="uk-UA"/>
        </w:rPr>
      </w:pPr>
      <w:r>
        <w:rPr>
          <w:rFonts w:cs="Times New Roman"/>
          <w:szCs w:val="28"/>
          <w:lang w:val="uk-UA"/>
        </w:rPr>
        <w:t>4. Порядок видачі спеціальних дозволів на використання лісових ресурсів, затверджений постановою Кабінету Міністрів України від 23.05.2007 № 761.</w:t>
      </w:r>
    </w:p>
    <w:p w:rsidR="00F76BA8" w:rsidRDefault="00F76BA8" w:rsidP="00F76BA8">
      <w:pPr>
        <w:jc w:val="both"/>
        <w:rPr>
          <w:rFonts w:cs="Times New Roman"/>
          <w:szCs w:val="28"/>
          <w:lang w:val="uk-UA"/>
        </w:rPr>
      </w:pPr>
      <w:r>
        <w:rPr>
          <w:rFonts w:cs="Times New Roman"/>
          <w:szCs w:val="28"/>
          <w:lang w:val="uk-UA"/>
        </w:rPr>
        <w:t>5. Правила рубок головного користування, затверджені наказом Державного комітету лісового господарства України від 23.12.2009 № 364.</w:t>
      </w:r>
    </w:p>
    <w:p w:rsidR="00F76BA8" w:rsidRDefault="00F76BA8" w:rsidP="00F76BA8">
      <w:pPr>
        <w:jc w:val="both"/>
        <w:rPr>
          <w:rFonts w:cs="Times New Roman"/>
          <w:szCs w:val="28"/>
          <w:lang w:val="uk-UA"/>
        </w:rPr>
      </w:pPr>
      <w:r>
        <w:rPr>
          <w:rFonts w:cs="Times New Roman"/>
          <w:szCs w:val="28"/>
          <w:lang w:val="uk-UA"/>
        </w:rPr>
        <w:t>6. Правила поліпшення якісного складу лісів, затверджені постановою Кабінету Міністрів України від 12.05.2007 № 724.</w:t>
      </w:r>
    </w:p>
    <w:p w:rsidR="00F76BA8" w:rsidRDefault="00F76BA8" w:rsidP="00F76BA8">
      <w:pPr>
        <w:jc w:val="both"/>
        <w:rPr>
          <w:rFonts w:cs="Times New Roman"/>
          <w:szCs w:val="28"/>
          <w:lang w:val="uk-UA"/>
        </w:rPr>
      </w:pPr>
      <w:r>
        <w:rPr>
          <w:rFonts w:cs="Times New Roman"/>
          <w:szCs w:val="28"/>
          <w:lang w:val="uk-UA"/>
        </w:rPr>
        <w:t>7. Наказ Міністерства фінансів України «Про затвердження форми Податкової декларації з рентної плати» від 17.08.2015 № 719.</w:t>
      </w:r>
    </w:p>
    <w:p w:rsidR="00F76BA8" w:rsidRDefault="00F76BA8" w:rsidP="00F76BA8">
      <w:pPr>
        <w:jc w:val="both"/>
        <w:rPr>
          <w:rFonts w:cs="Times New Roman"/>
          <w:szCs w:val="28"/>
          <w:lang w:val="uk-UA"/>
        </w:rPr>
      </w:pPr>
      <w:r>
        <w:rPr>
          <w:rFonts w:cs="Times New Roman"/>
          <w:szCs w:val="28"/>
          <w:lang w:val="uk-UA"/>
        </w:rPr>
        <w:t xml:space="preserve">8. Рішення Верховної Ради Автономної Республіки Крим, обласних, міських, селищних та сільських рад щодо ставок збору за заготівлю </w:t>
      </w:r>
      <w:r>
        <w:rPr>
          <w:rFonts w:cs="Times New Roman"/>
          <w:szCs w:val="28"/>
          <w:lang w:val="uk-UA"/>
        </w:rPr>
        <w:lastRenderedPageBreak/>
        <w:t xml:space="preserve">другорядних лісових матеріалів, здійснення побічних лісових </w:t>
      </w:r>
      <w:proofErr w:type="spellStart"/>
      <w:r>
        <w:rPr>
          <w:rFonts w:cs="Times New Roman"/>
          <w:szCs w:val="28"/>
          <w:lang w:val="uk-UA"/>
        </w:rPr>
        <w:t>користувань</w:t>
      </w:r>
      <w:proofErr w:type="spellEnd"/>
      <w:r>
        <w:rPr>
          <w:rFonts w:cs="Times New Roman"/>
          <w:szCs w:val="28"/>
          <w:lang w:val="uk-UA"/>
        </w:rPr>
        <w:t xml:space="preserve"> та використання корисних властивостей лісів.</w:t>
      </w:r>
    </w:p>
    <w:p w:rsidR="00F76BA8" w:rsidRDefault="00F76BA8" w:rsidP="00F76BA8">
      <w:pPr>
        <w:jc w:val="both"/>
        <w:rPr>
          <w:rFonts w:cs="Times New Roman"/>
          <w:szCs w:val="28"/>
          <w:lang w:val="uk-UA"/>
        </w:rPr>
      </w:pPr>
      <w:r>
        <w:rPr>
          <w:rFonts w:cs="Times New Roman"/>
          <w:szCs w:val="28"/>
          <w:lang w:val="uk-UA"/>
        </w:rPr>
        <w:t>Особливістю проведення перевірки збору за спеціальне використання лісових ресурсів є те, що до механізму його нарахування та сплати залучені не лише лісокористувачі, а й «суб’єкти лісових відносин», які видають спеціальні дозволи на заготівлю деревини в порядку рубок головного користування (органи виконавчої влади з питань лісового господарства Автономної Республіки Крим, територіальні органи центрального органу виконавчої влади з питань лісового господарства) та спеціальні дозволи на інші види спеціального використання лісових ресурсів (власники лісів або постійні лісокористувачі), обчислюють суму збору та в обов’язковому порядку зазначають у таких дозволах (лісорубних та лісових квитках), щоквартально подають перелік лісокористувачів, яким у визначеному порядку видано лісорубний або лісовий квитки. До обов’язків лісокористувачів віднесено необхідність подачі податкового розрахунку збору та його сплата в повному обсязі за всю дозволену для заготівлі кількість деревини та інші види спеціального використання лісових ресурсів.</w:t>
      </w:r>
    </w:p>
    <w:p w:rsidR="00F76BA8" w:rsidRDefault="00F76BA8" w:rsidP="00F76BA8">
      <w:pPr>
        <w:jc w:val="both"/>
        <w:rPr>
          <w:rFonts w:cs="Times New Roman"/>
          <w:szCs w:val="28"/>
          <w:lang w:val="uk-UA"/>
        </w:rPr>
      </w:pPr>
      <w:r>
        <w:rPr>
          <w:rFonts w:cs="Times New Roman"/>
          <w:szCs w:val="28"/>
          <w:lang w:val="uk-UA"/>
        </w:rPr>
        <w:t xml:space="preserve">Перевіряючи розрахунок суми збору за спеціальне використання лісових ресурсів, слід упевнитися у правильному визначенні ставок збору. При заготівлі деревини основних та неосновних порід такі ставки встановлено у гривнях за один щільний кубічний метр деревини окремо для ділової (без кори) та дров’яної (з корою) у розрізі лісових порід за першим і другим поясом, а також у розрізі 1–5 розрядів окремо для великої, середньої та дрібної деревини. Зменшені ставки збору встановлені за </w:t>
      </w:r>
      <w:proofErr w:type="spellStart"/>
      <w:r>
        <w:rPr>
          <w:rFonts w:cs="Times New Roman"/>
          <w:szCs w:val="28"/>
          <w:lang w:val="uk-UA"/>
        </w:rPr>
        <w:t>ліквід</w:t>
      </w:r>
      <w:proofErr w:type="spellEnd"/>
      <w:r>
        <w:rPr>
          <w:rFonts w:cs="Times New Roman"/>
          <w:szCs w:val="28"/>
          <w:lang w:val="uk-UA"/>
        </w:rPr>
        <w:t xml:space="preserve"> з крони (40% від загальної), за порубкові залишки, що підлягають використанню, і на деревину, заготовлену під час вибіркових рубок (20 % від загальної), на деревину, заготовлену під час заходів щодо поліпшення якісного складу лісів (50 % від загальної).</w:t>
      </w:r>
    </w:p>
    <w:p w:rsidR="00F76BA8" w:rsidRDefault="00F76BA8" w:rsidP="00F76BA8">
      <w:pPr>
        <w:jc w:val="both"/>
        <w:rPr>
          <w:rFonts w:cs="Times New Roman"/>
          <w:szCs w:val="28"/>
          <w:lang w:val="uk-UA"/>
        </w:rPr>
      </w:pPr>
      <w:r>
        <w:rPr>
          <w:rFonts w:cs="Times New Roman"/>
          <w:szCs w:val="28"/>
          <w:lang w:val="uk-UA"/>
        </w:rPr>
        <w:t xml:space="preserve">Слід враховувати, що за заготівлю другорядних лісових матеріалів, здійснення побічних лісових </w:t>
      </w:r>
      <w:proofErr w:type="spellStart"/>
      <w:r>
        <w:rPr>
          <w:rFonts w:cs="Times New Roman"/>
          <w:szCs w:val="28"/>
          <w:lang w:val="uk-UA"/>
        </w:rPr>
        <w:t>користувань</w:t>
      </w:r>
      <w:proofErr w:type="spellEnd"/>
      <w:r>
        <w:rPr>
          <w:rFonts w:cs="Times New Roman"/>
          <w:szCs w:val="28"/>
          <w:lang w:val="uk-UA"/>
        </w:rPr>
        <w:t xml:space="preserve"> та використання корисних </w:t>
      </w:r>
      <w:r>
        <w:rPr>
          <w:rFonts w:cs="Times New Roman"/>
          <w:szCs w:val="28"/>
          <w:lang w:val="uk-UA"/>
        </w:rPr>
        <w:lastRenderedPageBreak/>
        <w:t>властивостей лісів ставки встановлюються рішеннями обласними та міськими радами.</w:t>
      </w:r>
    </w:p>
    <w:p w:rsidR="00F76BA8" w:rsidRDefault="00F76BA8" w:rsidP="00F76BA8">
      <w:pPr>
        <w:jc w:val="both"/>
        <w:rPr>
          <w:rFonts w:cs="Times New Roman"/>
          <w:szCs w:val="28"/>
          <w:lang w:val="uk-UA"/>
        </w:rPr>
      </w:pPr>
      <w:r>
        <w:rPr>
          <w:rFonts w:cs="Times New Roman"/>
          <w:szCs w:val="28"/>
          <w:lang w:val="uk-UA"/>
        </w:rPr>
        <w:t>Незважаючи на те, що сума збору визначається заздалегідь при видачі дозволу, за фактом використання або заготівлі лісових ресурсів може виникати необхідність у його перерахунку, що має бути підтверджено актом огляду місць спеціального використання лісових ресурсів. Інші випадки необхідності перерахунку збору визначені ст. 333 ПКУ (виправлення технічних помилок, анулювання лісорубного або лісового квитка у зв’язку з вилученням земель для інших потреб, надання лісокористувачам відстрочки на заготівлю деревини, на вивезення, при додатковому продовженні строку вивезення).</w:t>
      </w:r>
    </w:p>
    <w:p w:rsidR="00F76BA8" w:rsidRDefault="00F76BA8" w:rsidP="00F76BA8">
      <w:pPr>
        <w:jc w:val="both"/>
        <w:rPr>
          <w:rFonts w:cs="Times New Roman"/>
          <w:szCs w:val="28"/>
          <w:lang w:val="uk-UA"/>
        </w:rPr>
      </w:pPr>
      <w:r>
        <w:rPr>
          <w:rFonts w:cs="Times New Roman"/>
          <w:szCs w:val="28"/>
          <w:lang w:val="uk-UA"/>
        </w:rPr>
        <w:t xml:space="preserve">Слід враховувати, що законодавством не передбачено зменшення суми збору у разі неповної заготівлі деревини або </w:t>
      </w:r>
      <w:proofErr w:type="spellStart"/>
      <w:r>
        <w:rPr>
          <w:rFonts w:cs="Times New Roman"/>
          <w:szCs w:val="28"/>
          <w:lang w:val="uk-UA"/>
        </w:rPr>
        <w:t>непроведення</w:t>
      </w:r>
      <w:proofErr w:type="spellEnd"/>
      <w:r>
        <w:rPr>
          <w:rFonts w:cs="Times New Roman"/>
          <w:szCs w:val="28"/>
          <w:lang w:val="uk-UA"/>
        </w:rPr>
        <w:t xml:space="preserve"> її взагалі, тому такі лісокористувачі збір обчислюють та сплачують повністю за дозволену для заготівлі кількість деревини, що зазначена в дозволі. Здійснюючи перевірку правильності застосування ставок збору, варто мати на увазі, що оскільки вони встановлені у вартісному розмірі, то згідно з п. 29.2 ст. 29 ПКУ підлягають щорічній індексації, яка має здійснюватися на підставі проекту закону про внесення змін до ПКУ з урахуванням індексів споживчих цін та індексів цін виробників промислової продукції, який щороку до 1 червня вноситиметься Кабінетом Міністрів України до Верховної Ради України.</w:t>
      </w:r>
    </w:p>
    <w:p w:rsidR="00F76BA8" w:rsidRDefault="00F76BA8" w:rsidP="00F76BA8">
      <w:pPr>
        <w:jc w:val="both"/>
        <w:rPr>
          <w:rFonts w:cs="Times New Roman"/>
          <w:szCs w:val="28"/>
          <w:lang w:val="uk-UA"/>
        </w:rPr>
      </w:pPr>
      <w:r>
        <w:rPr>
          <w:rFonts w:cs="Times New Roman"/>
          <w:szCs w:val="28"/>
          <w:lang w:val="uk-UA"/>
        </w:rPr>
        <w:t>Типовими помилками при нарахуванні та сплаті збору за спеціальне використання лісових ресурсів є:</w:t>
      </w:r>
    </w:p>
    <w:p w:rsidR="00F76BA8" w:rsidRDefault="00F76BA8" w:rsidP="00F76BA8">
      <w:pPr>
        <w:jc w:val="both"/>
        <w:rPr>
          <w:rFonts w:cs="Times New Roman"/>
          <w:szCs w:val="28"/>
          <w:lang w:val="uk-UA"/>
        </w:rPr>
      </w:pPr>
      <w:r>
        <w:rPr>
          <w:rFonts w:cs="Times New Roman"/>
          <w:szCs w:val="28"/>
          <w:lang w:val="uk-UA"/>
        </w:rPr>
        <w:t>– помилки при визначенні ставок збору залежно від якісних характеристик деревини, місць розташування заготівлі;</w:t>
      </w:r>
    </w:p>
    <w:p w:rsidR="00F76BA8" w:rsidRDefault="00F76BA8" w:rsidP="00F76BA8">
      <w:pPr>
        <w:jc w:val="both"/>
        <w:rPr>
          <w:rFonts w:cs="Times New Roman"/>
          <w:szCs w:val="28"/>
          <w:lang w:val="uk-UA"/>
        </w:rPr>
      </w:pPr>
      <w:r>
        <w:rPr>
          <w:rFonts w:cs="Times New Roman"/>
          <w:szCs w:val="28"/>
          <w:lang w:val="uk-UA"/>
        </w:rPr>
        <w:t>– порушення передбачених законодавством умов щодо перерахунку збору;</w:t>
      </w:r>
    </w:p>
    <w:p w:rsidR="00F76BA8" w:rsidRDefault="00F76BA8" w:rsidP="00F76BA8">
      <w:pPr>
        <w:jc w:val="both"/>
        <w:rPr>
          <w:rFonts w:cs="Times New Roman"/>
          <w:szCs w:val="28"/>
          <w:lang w:val="uk-UA"/>
        </w:rPr>
      </w:pPr>
      <w:r>
        <w:rPr>
          <w:rFonts w:cs="Times New Roman"/>
          <w:szCs w:val="28"/>
          <w:lang w:val="uk-UA"/>
        </w:rPr>
        <w:t xml:space="preserve">– </w:t>
      </w:r>
      <w:proofErr w:type="spellStart"/>
      <w:r>
        <w:rPr>
          <w:rFonts w:cs="Times New Roman"/>
          <w:szCs w:val="28"/>
          <w:lang w:val="uk-UA"/>
        </w:rPr>
        <w:t>неподача</w:t>
      </w:r>
      <w:proofErr w:type="spellEnd"/>
      <w:r>
        <w:rPr>
          <w:rFonts w:cs="Times New Roman"/>
          <w:szCs w:val="28"/>
          <w:lang w:val="uk-UA"/>
        </w:rPr>
        <w:t xml:space="preserve"> податкового розрахунку збору за спеціальне використання лісових ресурсів лісокористувачами, які отримали лісорубні та лісові квитки;</w:t>
      </w:r>
    </w:p>
    <w:p w:rsidR="00F76BA8" w:rsidRDefault="00F76BA8" w:rsidP="00F76BA8">
      <w:pPr>
        <w:jc w:val="both"/>
        <w:rPr>
          <w:rFonts w:cs="Times New Roman"/>
          <w:szCs w:val="28"/>
          <w:lang w:val="uk-UA"/>
        </w:rPr>
      </w:pPr>
      <w:r>
        <w:rPr>
          <w:rFonts w:cs="Times New Roman"/>
          <w:szCs w:val="28"/>
          <w:lang w:val="uk-UA"/>
        </w:rPr>
        <w:lastRenderedPageBreak/>
        <w:t>– порушення строків сплати збору та неправильний розподіл його величини за кварталами.</w:t>
      </w:r>
    </w:p>
    <w:p w:rsidR="00F76BA8" w:rsidRDefault="00F76BA8" w:rsidP="00F76BA8">
      <w:pPr>
        <w:jc w:val="both"/>
        <w:rPr>
          <w:rFonts w:cs="Times New Roman"/>
          <w:szCs w:val="28"/>
          <w:lang w:val="uk-UA"/>
        </w:rPr>
      </w:pPr>
    </w:p>
    <w:p w:rsidR="00F76BA8" w:rsidRDefault="00F76BA8" w:rsidP="00F76BA8">
      <w:pPr>
        <w:jc w:val="both"/>
        <w:rPr>
          <w:rFonts w:cs="Times New Roman"/>
          <w:b/>
          <w:szCs w:val="28"/>
          <w:lang w:val="uk-UA"/>
        </w:rPr>
      </w:pPr>
      <w:r>
        <w:rPr>
          <w:rFonts w:cs="Times New Roman"/>
          <w:b/>
          <w:szCs w:val="28"/>
          <w:lang w:val="uk-UA"/>
        </w:rPr>
        <w:t>7.3 Методика аудиту збору за спеціальне використання води</w:t>
      </w:r>
    </w:p>
    <w:p w:rsidR="00F76BA8" w:rsidRDefault="00F76BA8" w:rsidP="00F76BA8">
      <w:pPr>
        <w:jc w:val="both"/>
        <w:rPr>
          <w:rFonts w:cs="Times New Roman"/>
          <w:szCs w:val="28"/>
          <w:lang w:val="uk-UA"/>
        </w:rPr>
      </w:pPr>
      <w:r>
        <w:rPr>
          <w:rFonts w:cs="Times New Roman"/>
          <w:szCs w:val="28"/>
          <w:lang w:val="uk-UA"/>
        </w:rPr>
        <w:t>Основними нормативними документами, які слід використовувати при проведенні аудиту збору за спеціальне використання води, є:</w:t>
      </w:r>
    </w:p>
    <w:p w:rsidR="00F76BA8" w:rsidRDefault="00F76BA8" w:rsidP="00F76BA8">
      <w:pPr>
        <w:jc w:val="both"/>
        <w:rPr>
          <w:rFonts w:cs="Times New Roman"/>
          <w:szCs w:val="28"/>
          <w:lang w:val="uk-UA"/>
        </w:rPr>
      </w:pPr>
      <w:r>
        <w:rPr>
          <w:rFonts w:cs="Times New Roman"/>
          <w:szCs w:val="28"/>
          <w:lang w:val="uk-UA"/>
        </w:rPr>
        <w:t>1. Податковий кодекс України від 02.12.2010 № 2755-VII.</w:t>
      </w:r>
    </w:p>
    <w:p w:rsidR="00F76BA8" w:rsidRDefault="00F76BA8" w:rsidP="00F76BA8">
      <w:pPr>
        <w:jc w:val="both"/>
        <w:rPr>
          <w:rFonts w:cs="Times New Roman"/>
          <w:szCs w:val="28"/>
          <w:lang w:val="uk-UA"/>
        </w:rPr>
      </w:pPr>
      <w:r>
        <w:rPr>
          <w:rFonts w:cs="Times New Roman"/>
          <w:szCs w:val="28"/>
          <w:lang w:val="uk-UA"/>
        </w:rPr>
        <w:t>2. Водний кодекс України, затверджений постановою Верховної</w:t>
      </w:r>
    </w:p>
    <w:p w:rsidR="00F76BA8" w:rsidRDefault="00F76BA8" w:rsidP="00F76BA8">
      <w:pPr>
        <w:jc w:val="both"/>
        <w:rPr>
          <w:rFonts w:cs="Times New Roman"/>
          <w:szCs w:val="28"/>
          <w:lang w:val="uk-UA"/>
        </w:rPr>
      </w:pPr>
      <w:r>
        <w:rPr>
          <w:rFonts w:cs="Times New Roman"/>
          <w:szCs w:val="28"/>
          <w:lang w:val="uk-UA"/>
        </w:rPr>
        <w:t>Ради України від 06.06.1995 № 214/95-ВР.</w:t>
      </w:r>
    </w:p>
    <w:p w:rsidR="00F76BA8" w:rsidRDefault="00F76BA8" w:rsidP="00F76BA8">
      <w:pPr>
        <w:jc w:val="both"/>
        <w:rPr>
          <w:rFonts w:cs="Times New Roman"/>
          <w:szCs w:val="28"/>
          <w:lang w:val="uk-UA"/>
        </w:rPr>
      </w:pPr>
      <w:r>
        <w:rPr>
          <w:rFonts w:cs="Times New Roman"/>
          <w:szCs w:val="28"/>
          <w:lang w:val="uk-UA"/>
        </w:rPr>
        <w:t>3. Наказ Міністерства фінансів України «Про затвердження форми Податкової декларації з рентної плати» від 17.08.2015 № 719.</w:t>
      </w:r>
    </w:p>
    <w:p w:rsidR="00F76BA8" w:rsidRDefault="00F76BA8" w:rsidP="00F76BA8">
      <w:pPr>
        <w:jc w:val="both"/>
        <w:rPr>
          <w:rFonts w:cs="Times New Roman"/>
          <w:szCs w:val="28"/>
          <w:lang w:val="uk-UA"/>
        </w:rPr>
      </w:pPr>
      <w:r>
        <w:rPr>
          <w:rFonts w:cs="Times New Roman"/>
          <w:szCs w:val="28"/>
          <w:lang w:val="uk-UA"/>
        </w:rPr>
        <w:t>Платниками податку є первинні та вторинні водокористувачі (до перших належать ті суб’єкти, які отримують воду шляхом забору води з водних ресурсів, до других – ті, які отримують воду від первинних або інших водокористувачів), а також ті суб’єкти господарювання, які використовують воду для потреб гідроенергетики, водного транспорту і рибництва (п. 323.1 ПКУ). Слід враховувати, що відповідно до п. 326.2 ПКУ за обсяги води, переданої водокористувачем – постачальником іншим водокористувачам без укладання останніми договору на поставку води, збір нараховується та сплачується таким водокористувачем-постачальником. Бюджетні установи виключені зі складу платників збору, але якщо вони використовують воду для господарської діяльності, спрямованої на отримання доходу, збір має сплачуватися на загальних підставах (п. 326.13 ПКУ).</w:t>
      </w:r>
    </w:p>
    <w:p w:rsidR="00F76BA8" w:rsidRDefault="00F76BA8" w:rsidP="00F76BA8">
      <w:pPr>
        <w:jc w:val="both"/>
        <w:rPr>
          <w:rFonts w:cs="Times New Roman"/>
          <w:szCs w:val="28"/>
          <w:lang w:val="uk-UA"/>
        </w:rPr>
      </w:pPr>
      <w:r>
        <w:rPr>
          <w:rFonts w:cs="Times New Roman"/>
          <w:szCs w:val="28"/>
          <w:lang w:val="uk-UA"/>
        </w:rPr>
        <w:t>При цьому тип джерела водопостачання, категорії якості води та глибина об’єкта, з якого забирається вода, не впливають на обов’язок сплати збору за спеціальне використання води суб’єкта господарювання, що здійснює використання води. Винятком є обсяги води, що використовуються для задоволення питних та санітарно-гігієнічних потреб населення.</w:t>
      </w:r>
    </w:p>
    <w:p w:rsidR="00F76BA8" w:rsidRDefault="00F76BA8" w:rsidP="00F76BA8">
      <w:pPr>
        <w:jc w:val="both"/>
        <w:rPr>
          <w:rFonts w:cs="Times New Roman"/>
          <w:szCs w:val="28"/>
          <w:lang w:val="uk-UA"/>
        </w:rPr>
      </w:pPr>
      <w:r>
        <w:rPr>
          <w:rFonts w:cs="Times New Roman"/>
          <w:szCs w:val="28"/>
          <w:lang w:val="uk-UA"/>
        </w:rPr>
        <w:t xml:space="preserve">Здійснюючи аудит збору за спеціальне використання води аудитор повинен враховувати таку особливість адміністрування цього податку: </w:t>
      </w:r>
      <w:r>
        <w:rPr>
          <w:rFonts w:cs="Times New Roman"/>
          <w:szCs w:val="28"/>
          <w:lang w:val="uk-UA"/>
        </w:rPr>
        <w:lastRenderedPageBreak/>
        <w:t xml:space="preserve">основою для розрахунку збору є дозволи на спеціальне використання водних ресурсів, договори на поставку води, а органи, які здійснюють видачу таких дозволів, та водокористувачі, які здійснюють постачання води іншим водокористувачам, щороку до 20 січня подають відповідну інформацію про первинних водокористувачів та водокористувачів – абонентів до органів податкової служби (п. 326.12 ПКУ). Основну увагу аудитор повинен приділити перевірці об’єкта та бази оподаткування, ставок податку, </w:t>
      </w:r>
      <w:proofErr w:type="spellStart"/>
      <w:r>
        <w:rPr>
          <w:rFonts w:cs="Times New Roman"/>
          <w:szCs w:val="28"/>
          <w:lang w:val="uk-UA"/>
        </w:rPr>
        <w:t>коригуючих</w:t>
      </w:r>
      <w:proofErr w:type="spellEnd"/>
      <w:r>
        <w:rPr>
          <w:rFonts w:cs="Times New Roman"/>
          <w:szCs w:val="28"/>
          <w:lang w:val="uk-UA"/>
        </w:rPr>
        <w:t xml:space="preserve"> коефіцієнтів, порядку розрахунку збору, порядку заповнення та подання податкової звітності. Для цього аудитор досліджує механізм визначення фактичних обсягів використаної води, перевіряє дані первинного обліку та технологічні дані, перевіряє наявність встановленого ліміту використання води та фактичні обсяги. За порушення умов використання водних ресурсів встановлено доволі жорсткі заходи відповідальності. За відсутності вимірювальних приладів, якщо можливість їх встановлення існує, збір сплачується у двократному розмірі, за перевищення водокористувачами встановленого річного ліміту використання води збір обчислюється і сплачується у п’ятикратному розмірі за фактичні обсяги використаної води понад встановлений ліміт, а за відсутності у водокористувача дозволу на спеціальне використання води із встановленими лімітами використання води – у п’ятикратному розмірі за всі обсяги використаної води.</w:t>
      </w:r>
    </w:p>
    <w:p w:rsidR="00F76BA8" w:rsidRDefault="00F76BA8" w:rsidP="00F76BA8">
      <w:pPr>
        <w:jc w:val="both"/>
        <w:rPr>
          <w:rFonts w:cs="Times New Roman"/>
          <w:szCs w:val="28"/>
          <w:lang w:val="uk-UA"/>
        </w:rPr>
      </w:pPr>
      <w:r>
        <w:rPr>
          <w:rFonts w:cs="Times New Roman"/>
          <w:szCs w:val="28"/>
          <w:lang w:val="uk-UA"/>
        </w:rPr>
        <w:t>Здійснюючи перевірку правильності застосування ставок збору, слід враховувати, що оскільки вони встановлені у вартісному розмірі, то згідно з п. 29.2 ст. 29 ПКУ підлягають щорічній індексації, яка має здійснюватися на підставі проекту закону про внесення змін до ПКУ з урахуванням індексів споживчих цін та індексів цін виробників промислової продукції, який щороку до 1 червня подаватиметься Кабінетом Міністрів України на розгляд Верховної Ради України.</w:t>
      </w:r>
    </w:p>
    <w:p w:rsidR="00F76BA8" w:rsidRDefault="00F76BA8" w:rsidP="00F76BA8">
      <w:pPr>
        <w:jc w:val="both"/>
        <w:rPr>
          <w:rFonts w:cs="Times New Roman"/>
          <w:szCs w:val="28"/>
          <w:lang w:val="uk-UA"/>
        </w:rPr>
      </w:pPr>
      <w:r>
        <w:rPr>
          <w:rFonts w:cs="Times New Roman"/>
          <w:szCs w:val="28"/>
          <w:lang w:val="uk-UA"/>
        </w:rPr>
        <w:t>Типовими помилками при нарахуванні та сплаті збору за спеціальне використання води є:</w:t>
      </w:r>
    </w:p>
    <w:p w:rsidR="00F76BA8" w:rsidRDefault="00F76BA8" w:rsidP="00F76BA8">
      <w:pPr>
        <w:jc w:val="both"/>
        <w:rPr>
          <w:rFonts w:cs="Times New Roman"/>
          <w:szCs w:val="28"/>
          <w:lang w:val="uk-UA"/>
        </w:rPr>
      </w:pPr>
      <w:r>
        <w:rPr>
          <w:rFonts w:cs="Times New Roman"/>
          <w:szCs w:val="28"/>
          <w:lang w:val="uk-UA"/>
        </w:rPr>
        <w:lastRenderedPageBreak/>
        <w:t>– помилки у визначенні видів діяльностей, за яких використовуються водні ресурси, при здійсненні яких збір не стягується;</w:t>
      </w:r>
    </w:p>
    <w:p w:rsidR="00F76BA8" w:rsidRDefault="00F76BA8" w:rsidP="00F76BA8">
      <w:pPr>
        <w:jc w:val="both"/>
        <w:rPr>
          <w:rFonts w:cs="Times New Roman"/>
          <w:szCs w:val="28"/>
          <w:lang w:val="uk-UA"/>
        </w:rPr>
      </w:pPr>
      <w:r>
        <w:rPr>
          <w:rFonts w:cs="Times New Roman"/>
          <w:szCs w:val="28"/>
          <w:lang w:val="uk-UA"/>
        </w:rPr>
        <w:t xml:space="preserve">– помилки при визначенні ставки збору та </w:t>
      </w:r>
      <w:proofErr w:type="spellStart"/>
      <w:r>
        <w:rPr>
          <w:rFonts w:cs="Times New Roman"/>
          <w:szCs w:val="28"/>
          <w:lang w:val="uk-UA"/>
        </w:rPr>
        <w:t>коригуючих</w:t>
      </w:r>
      <w:proofErr w:type="spellEnd"/>
      <w:r>
        <w:rPr>
          <w:rFonts w:cs="Times New Roman"/>
          <w:szCs w:val="28"/>
          <w:lang w:val="uk-UA"/>
        </w:rPr>
        <w:t xml:space="preserve"> коефіцієнтів залежно від характеристик фінансово-господарської діяльності та виду використаної води; – порушення у веденні первинного обліку обсягів фактично використаної води в умовах використання приладів обліку та при застосуванні технологічних даних;</w:t>
      </w:r>
    </w:p>
    <w:p w:rsidR="00F76BA8" w:rsidRDefault="00F76BA8" w:rsidP="00F76BA8">
      <w:pPr>
        <w:jc w:val="both"/>
        <w:rPr>
          <w:rFonts w:cs="Times New Roman"/>
          <w:szCs w:val="28"/>
          <w:lang w:val="uk-UA"/>
        </w:rPr>
      </w:pPr>
      <w:r>
        <w:rPr>
          <w:rFonts w:cs="Times New Roman"/>
          <w:szCs w:val="28"/>
          <w:lang w:val="uk-UA"/>
        </w:rPr>
        <w:t>– сплата збору за звичайними ставками за наявності можливостей для встановлення вимірювальних приладів, при понадлімітному використанні води та за відсутності дозволів на спеціальне водокористування.</w:t>
      </w:r>
    </w:p>
    <w:p w:rsidR="00F76BA8" w:rsidRDefault="00F76BA8" w:rsidP="00F76BA8">
      <w:pPr>
        <w:jc w:val="both"/>
        <w:rPr>
          <w:rFonts w:cs="Times New Roman"/>
          <w:szCs w:val="28"/>
          <w:lang w:val="uk-UA"/>
        </w:rPr>
      </w:pPr>
    </w:p>
    <w:p w:rsidR="00F76BA8" w:rsidRDefault="00F76BA8" w:rsidP="00F76BA8">
      <w:pPr>
        <w:jc w:val="both"/>
        <w:rPr>
          <w:rFonts w:cs="Times New Roman"/>
          <w:b/>
          <w:szCs w:val="28"/>
          <w:lang w:val="uk-UA"/>
        </w:rPr>
      </w:pPr>
      <w:r>
        <w:rPr>
          <w:rFonts w:cs="Times New Roman"/>
          <w:b/>
          <w:szCs w:val="28"/>
          <w:lang w:val="uk-UA"/>
        </w:rPr>
        <w:t>7.4 Методика аудиту екологічного податку</w:t>
      </w:r>
    </w:p>
    <w:p w:rsidR="00F76BA8" w:rsidRDefault="00F76BA8" w:rsidP="00F76BA8">
      <w:pPr>
        <w:jc w:val="both"/>
        <w:rPr>
          <w:rFonts w:cs="Times New Roman"/>
          <w:szCs w:val="28"/>
          <w:lang w:val="uk-UA"/>
        </w:rPr>
      </w:pPr>
      <w:r>
        <w:rPr>
          <w:rFonts w:cs="Times New Roman"/>
          <w:szCs w:val="28"/>
          <w:lang w:val="uk-UA"/>
        </w:rPr>
        <w:t>Основними нормативними документами, які слід використовувати при проведенні аудиту екологічного податку, є:</w:t>
      </w:r>
    </w:p>
    <w:p w:rsidR="00F76BA8" w:rsidRDefault="00F76BA8" w:rsidP="00F76BA8">
      <w:pPr>
        <w:jc w:val="both"/>
        <w:rPr>
          <w:rFonts w:cs="Times New Roman"/>
          <w:szCs w:val="28"/>
          <w:lang w:val="uk-UA"/>
        </w:rPr>
      </w:pPr>
      <w:r>
        <w:rPr>
          <w:rFonts w:cs="Times New Roman"/>
          <w:szCs w:val="28"/>
          <w:lang w:val="uk-UA"/>
        </w:rPr>
        <w:t>1. Податковий кодекс України від 02.12.2010 № 2755-VII.</w:t>
      </w:r>
    </w:p>
    <w:p w:rsidR="00F76BA8" w:rsidRDefault="00F76BA8" w:rsidP="00F76BA8">
      <w:pPr>
        <w:jc w:val="both"/>
        <w:rPr>
          <w:rFonts w:cs="Times New Roman"/>
          <w:szCs w:val="28"/>
          <w:lang w:val="uk-UA"/>
        </w:rPr>
      </w:pPr>
      <w:r>
        <w:rPr>
          <w:rFonts w:cs="Times New Roman"/>
          <w:szCs w:val="28"/>
          <w:lang w:val="uk-UA"/>
        </w:rPr>
        <w:t>2. Наказ Міністерства фінансів України «Про затвердження форми Податкової декларації екологічного податку» від 17.08.2015 № 715.</w:t>
      </w:r>
    </w:p>
    <w:p w:rsidR="00F76BA8" w:rsidRDefault="00F76BA8" w:rsidP="00F76BA8">
      <w:pPr>
        <w:jc w:val="both"/>
        <w:rPr>
          <w:rFonts w:cs="Times New Roman"/>
          <w:szCs w:val="28"/>
          <w:lang w:val="uk-UA"/>
        </w:rPr>
      </w:pPr>
      <w:r>
        <w:rPr>
          <w:rFonts w:cs="Times New Roman"/>
          <w:szCs w:val="28"/>
          <w:lang w:val="uk-UA"/>
        </w:rPr>
        <w:t xml:space="preserve">3. Постанова Кабінету Міністрів України «Про затвердження </w:t>
      </w:r>
      <w:r>
        <w:rPr>
          <w:bCs/>
          <w:szCs w:val="28"/>
          <w:shd w:val="clear" w:color="auto" w:fill="FFFFFF"/>
          <w:lang w:val="uk-UA"/>
        </w:rPr>
        <w:t>Порядку подання декларації про відходи та її форми»</w:t>
      </w:r>
      <w:r>
        <w:rPr>
          <w:rFonts w:cs="Times New Roman"/>
          <w:szCs w:val="28"/>
          <w:lang w:val="uk-UA"/>
        </w:rPr>
        <w:t xml:space="preserve"> від 18.02.2016 № 118.</w:t>
      </w:r>
    </w:p>
    <w:p w:rsidR="00F76BA8" w:rsidRDefault="00F76BA8" w:rsidP="00F76BA8">
      <w:pPr>
        <w:jc w:val="both"/>
        <w:rPr>
          <w:rFonts w:cs="Times New Roman"/>
          <w:szCs w:val="28"/>
          <w:lang w:val="uk-UA"/>
        </w:rPr>
      </w:pPr>
      <w:r>
        <w:rPr>
          <w:rFonts w:cs="Times New Roman"/>
          <w:szCs w:val="28"/>
          <w:lang w:val="uk-UA"/>
        </w:rPr>
        <w:t>Діяльність, при здійсненні якої виникає необхідність сплати екологічного податку, жорстко контролюється органами виконавчої влади з питань охорони навколишнього середовища та територіальними органами центрального органу виконавчої влади у сфері використання ядерної енергії, забезпечення додержання вимог ядерної та радіаційної безпеки і вимагає отримання необхідних дозволів та ліцензій. Зазначені органи виконавчої влади зобов’язані подавати до органів державної податкової служби переліки підприємств, установ, організацій, фізичних осіб-підприємців, яким дозволено таку діяльність, що полегшує процес адміністрування екологічного податку.</w:t>
      </w:r>
    </w:p>
    <w:p w:rsidR="00F76BA8" w:rsidRDefault="00F76BA8" w:rsidP="00F76BA8">
      <w:pPr>
        <w:jc w:val="both"/>
        <w:rPr>
          <w:rFonts w:cs="Times New Roman"/>
          <w:szCs w:val="28"/>
          <w:lang w:val="uk-UA"/>
        </w:rPr>
      </w:pPr>
      <w:r>
        <w:rPr>
          <w:rFonts w:cs="Times New Roman"/>
          <w:szCs w:val="28"/>
          <w:lang w:val="uk-UA"/>
        </w:rPr>
        <w:lastRenderedPageBreak/>
        <w:t>Платниками податку є суб’єкти, під час провадження діяльності яких здійснюються: викиди забруднюючих речовин стаціонарними джерелами забруднення, скидання забруднюючих речовин у водні об’єкти, розміщення відходів, утворення радіоактивних відходів та їх тимчасове зберігання, викиди забруднюючих речовин пересувними джерелами забруднення у разі використання ними палива. суб’єкти господарювання, які:</w:t>
      </w:r>
    </w:p>
    <w:p w:rsidR="00F76BA8" w:rsidRDefault="00F76BA8" w:rsidP="00F76BA8">
      <w:pPr>
        <w:jc w:val="both"/>
        <w:rPr>
          <w:rFonts w:cs="Times New Roman"/>
          <w:szCs w:val="28"/>
          <w:lang w:val="uk-UA"/>
        </w:rPr>
      </w:pPr>
      <w:r>
        <w:rPr>
          <w:rFonts w:cs="Times New Roman"/>
          <w:szCs w:val="28"/>
          <w:lang w:val="uk-UA"/>
        </w:rPr>
        <w:t>– здійснюють торгівлю на митній території України паливом власного виробництва та/або передають замовнику або за його дорученням іншій особі паливо, вироблене з давальницької сировини такого замовника;</w:t>
      </w:r>
    </w:p>
    <w:p w:rsidR="00F76BA8" w:rsidRDefault="00F76BA8" w:rsidP="00F76BA8">
      <w:pPr>
        <w:jc w:val="both"/>
        <w:rPr>
          <w:rFonts w:cs="Times New Roman"/>
          <w:szCs w:val="28"/>
          <w:lang w:val="uk-UA"/>
        </w:rPr>
      </w:pPr>
      <w:r>
        <w:rPr>
          <w:rFonts w:cs="Times New Roman"/>
          <w:szCs w:val="28"/>
          <w:lang w:val="uk-UA"/>
        </w:rPr>
        <w:t>– здійснюють ввезення палива на митну територію України. Такі податкові агенти утримують і сплачують екологічний податок під час реалізації такого палива, інші платники включають екологічний податок до складу витрат.</w:t>
      </w:r>
    </w:p>
    <w:p w:rsidR="00F76BA8" w:rsidRDefault="00F76BA8" w:rsidP="00F76BA8">
      <w:pPr>
        <w:jc w:val="both"/>
        <w:rPr>
          <w:rFonts w:cs="Times New Roman"/>
          <w:szCs w:val="28"/>
          <w:lang w:val="uk-UA"/>
        </w:rPr>
      </w:pPr>
      <w:r>
        <w:rPr>
          <w:rFonts w:cs="Times New Roman"/>
          <w:szCs w:val="28"/>
          <w:lang w:val="uk-UA"/>
        </w:rPr>
        <w:t xml:space="preserve">Основну увагу аудитор повинен приділити перевірці об’єкта та бази оподаткування, ставок податку, порядку заповнення та подання Податкової декларації з екологічного податку. Для цього аудитор досліджує механізм визначення обсягів об’єктів оподаткування, перевіряє правильність застосованих ставок та </w:t>
      </w:r>
      <w:proofErr w:type="spellStart"/>
      <w:r>
        <w:rPr>
          <w:rFonts w:cs="Times New Roman"/>
          <w:szCs w:val="28"/>
          <w:lang w:val="uk-UA"/>
        </w:rPr>
        <w:t>коригуючих</w:t>
      </w:r>
      <w:proofErr w:type="spellEnd"/>
      <w:r>
        <w:rPr>
          <w:rFonts w:cs="Times New Roman"/>
          <w:szCs w:val="28"/>
          <w:lang w:val="uk-UA"/>
        </w:rPr>
        <w:t xml:space="preserve"> коефіцієнтів при розрахунку сум екологічного податку.</w:t>
      </w:r>
    </w:p>
    <w:p w:rsidR="00F76BA8" w:rsidRDefault="00F76BA8" w:rsidP="00F76BA8">
      <w:pPr>
        <w:jc w:val="both"/>
        <w:rPr>
          <w:rFonts w:cs="Times New Roman"/>
          <w:szCs w:val="28"/>
          <w:lang w:val="uk-UA"/>
        </w:rPr>
      </w:pPr>
      <w:r>
        <w:rPr>
          <w:rFonts w:cs="Times New Roman"/>
          <w:szCs w:val="28"/>
          <w:lang w:val="uk-UA"/>
        </w:rPr>
        <w:t>Особливістю механізму адміністрування екологічного податку є</w:t>
      </w:r>
    </w:p>
    <w:p w:rsidR="00F76BA8" w:rsidRDefault="00F76BA8" w:rsidP="00F76BA8">
      <w:pPr>
        <w:jc w:val="both"/>
        <w:rPr>
          <w:rFonts w:cs="Times New Roman"/>
          <w:szCs w:val="28"/>
          <w:lang w:val="uk-UA"/>
        </w:rPr>
      </w:pPr>
      <w:r>
        <w:rPr>
          <w:rFonts w:cs="Times New Roman"/>
          <w:szCs w:val="28"/>
          <w:lang w:val="uk-UA"/>
        </w:rPr>
        <w:t>встановлення переліку місць подачі податкової декларації та необхідності подачі декількох податкових декларацій у разі наявності кількох стаціонарних джерел забруднення або спеціально відведених для розміщення відходів місць чи об’єктів у межах кількох населених пунктів або за їх межами. Тому аудитор повинен ознайомитися з місцем розташування суб’єкта та його потужностей для того, щоб перевірити правильність подачі податкових декларацій та сплати податку. Типовими помилками при нарахуванні та сплаті екологічного податку є:</w:t>
      </w:r>
    </w:p>
    <w:p w:rsidR="00F76BA8" w:rsidRDefault="00F76BA8" w:rsidP="00F76BA8">
      <w:pPr>
        <w:jc w:val="both"/>
        <w:rPr>
          <w:rFonts w:cs="Times New Roman"/>
          <w:szCs w:val="28"/>
          <w:lang w:val="uk-UA"/>
        </w:rPr>
      </w:pPr>
      <w:r>
        <w:rPr>
          <w:rFonts w:cs="Times New Roman"/>
          <w:szCs w:val="28"/>
          <w:lang w:val="uk-UA"/>
        </w:rPr>
        <w:t>– помилки у визначенні обсягів об’єктів оподаткування екологічним податком;</w:t>
      </w:r>
    </w:p>
    <w:p w:rsidR="00F76BA8" w:rsidRDefault="00F76BA8" w:rsidP="00F76BA8">
      <w:pPr>
        <w:jc w:val="both"/>
        <w:rPr>
          <w:rFonts w:cs="Times New Roman"/>
          <w:szCs w:val="28"/>
          <w:lang w:val="uk-UA"/>
        </w:rPr>
      </w:pPr>
      <w:r>
        <w:rPr>
          <w:rFonts w:cs="Times New Roman"/>
          <w:szCs w:val="28"/>
          <w:lang w:val="uk-UA"/>
        </w:rPr>
        <w:lastRenderedPageBreak/>
        <w:t>– несплата екологічного податку при продажу бензину та дизпалива податковими агентами – суб’єктами господарювання, які здійснюють оптову та роздрібну торгівлю паливом;</w:t>
      </w:r>
    </w:p>
    <w:p w:rsidR="00F76BA8" w:rsidRDefault="00F76BA8" w:rsidP="00F76BA8">
      <w:pPr>
        <w:jc w:val="both"/>
        <w:rPr>
          <w:rFonts w:cs="Times New Roman"/>
          <w:szCs w:val="28"/>
          <w:lang w:val="uk-UA"/>
        </w:rPr>
      </w:pPr>
      <w:r>
        <w:rPr>
          <w:rFonts w:cs="Times New Roman"/>
          <w:szCs w:val="28"/>
          <w:lang w:val="uk-UA"/>
        </w:rPr>
        <w:t xml:space="preserve">– помилки при визначенні ставки збору та </w:t>
      </w:r>
      <w:proofErr w:type="spellStart"/>
      <w:r>
        <w:rPr>
          <w:rFonts w:cs="Times New Roman"/>
          <w:szCs w:val="28"/>
          <w:lang w:val="uk-UA"/>
        </w:rPr>
        <w:t>коригуючих</w:t>
      </w:r>
      <w:proofErr w:type="spellEnd"/>
      <w:r>
        <w:rPr>
          <w:rFonts w:cs="Times New Roman"/>
          <w:szCs w:val="28"/>
          <w:lang w:val="uk-UA"/>
        </w:rPr>
        <w:t xml:space="preserve"> коефіцієнтів залежно від характеристик та виду об’єктів оподаткування екологічним податком;</w:t>
      </w:r>
    </w:p>
    <w:p w:rsidR="00F76BA8" w:rsidRDefault="00F76BA8" w:rsidP="00F76BA8">
      <w:pPr>
        <w:jc w:val="both"/>
        <w:rPr>
          <w:rFonts w:cs="Times New Roman"/>
          <w:szCs w:val="28"/>
          <w:lang w:val="uk-UA"/>
        </w:rPr>
      </w:pPr>
      <w:r>
        <w:rPr>
          <w:rFonts w:cs="Times New Roman"/>
          <w:szCs w:val="28"/>
          <w:lang w:val="uk-UA"/>
        </w:rPr>
        <w:t>– неправильне визначення місць подання податкових декларацій з екологічного податку та їх кількості залежно від місць розміщення та кількості стаціонарних джерел забруднення, спеціально відведених для цього місць чи об’єктів, місць перебування податкових агентів на податковому обліку.</w:t>
      </w:r>
    </w:p>
    <w:p w:rsidR="00F76BA8" w:rsidRDefault="00F76BA8" w:rsidP="00F76BA8">
      <w:pPr>
        <w:jc w:val="both"/>
        <w:rPr>
          <w:rFonts w:cs="Times New Roman"/>
          <w:szCs w:val="28"/>
          <w:lang w:val="uk-UA"/>
        </w:rPr>
      </w:pPr>
      <w:r>
        <w:rPr>
          <w:rFonts w:cs="Times New Roman"/>
          <w:szCs w:val="28"/>
          <w:lang w:val="uk-UA"/>
        </w:rPr>
        <w:br w:type="page"/>
      </w:r>
    </w:p>
    <w:sectPr w:rsidR="00F76BA8" w:rsidSect="00C76B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compat/>
  <w:rsids>
    <w:rsidRoot w:val="00F76BA8"/>
    <w:rsid w:val="00C76B67"/>
    <w:rsid w:val="00F76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B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399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2756</Words>
  <Characters>15714</Characters>
  <Application>Microsoft Office Word</Application>
  <DocSecurity>0</DocSecurity>
  <Lines>130</Lines>
  <Paragraphs>36</Paragraphs>
  <ScaleCrop>false</ScaleCrop>
  <Company>Workgroup</Company>
  <LinksUpToDate>false</LinksUpToDate>
  <CharactersWithSpaces>18434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Феофанов Л. К.</dc:creator>
  <cp:lastModifiedBy>Феофанов Л. К.</cp:lastModifiedBy>
  <cp:revision>1</cp:revision>
  <dcterms:created xsi:type="dcterms:W3CDTF">2020-09-16T12:51:00Z</dcterms:created>
  <dcterms:modified xsi:type="dcterms:W3CDTF">2020-09-16T12:51:00Z</dcterms:modified>
</cp:coreProperties>
</file>