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76C" w:rsidRDefault="0012776C" w:rsidP="0012776C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Тема </w:t>
      </w:r>
      <w:r w:rsidR="004E4226" w:rsidRPr="002234D1">
        <w:rPr>
          <w:b/>
          <w:sz w:val="32"/>
          <w:szCs w:val="32"/>
        </w:rPr>
        <w:t>4</w:t>
      </w:r>
      <w:r>
        <w:rPr>
          <w:b/>
          <w:sz w:val="32"/>
          <w:szCs w:val="32"/>
          <w:lang w:val="uk-UA"/>
        </w:rPr>
        <w:t>. Перевірка окремих господарських операцій</w:t>
      </w:r>
    </w:p>
    <w:p w:rsidR="0012776C" w:rsidRDefault="0012776C" w:rsidP="0012776C">
      <w:pPr>
        <w:ind w:left="709" w:firstLine="0"/>
        <w:jc w:val="center"/>
        <w:rPr>
          <w:lang w:val="uk-UA"/>
        </w:rPr>
      </w:pPr>
      <w:r>
        <w:rPr>
          <w:lang w:val="uk-UA"/>
        </w:rPr>
        <w:t>План</w:t>
      </w:r>
    </w:p>
    <w:p w:rsidR="0012776C" w:rsidRDefault="004E4226" w:rsidP="0012776C">
      <w:pPr>
        <w:ind w:left="709" w:firstLine="0"/>
        <w:rPr>
          <w:lang w:val="uk-UA"/>
        </w:rPr>
      </w:pPr>
      <w:r w:rsidRPr="004E4226">
        <w:rPr>
          <w:lang w:val="uk-UA"/>
        </w:rPr>
        <w:t>4</w:t>
      </w:r>
      <w:r w:rsidR="0012776C">
        <w:rPr>
          <w:lang w:val="uk-UA"/>
        </w:rPr>
        <w:t xml:space="preserve">.1. Реєстраційні документи підприємства </w:t>
      </w:r>
    </w:p>
    <w:p w:rsidR="0012776C" w:rsidRDefault="004E4226" w:rsidP="0012776C">
      <w:pPr>
        <w:ind w:left="709" w:firstLine="0"/>
        <w:rPr>
          <w:lang w:val="uk-UA"/>
        </w:rPr>
      </w:pPr>
      <w:r w:rsidRPr="004E4226">
        <w:rPr>
          <w:lang w:val="uk-UA"/>
        </w:rPr>
        <w:t>4</w:t>
      </w:r>
      <w:r w:rsidR="0012776C">
        <w:rPr>
          <w:lang w:val="uk-UA"/>
        </w:rPr>
        <w:t xml:space="preserve">.2. Розрахункові операції </w:t>
      </w:r>
    </w:p>
    <w:p w:rsidR="0012776C" w:rsidRDefault="004E4226" w:rsidP="0012776C">
      <w:pPr>
        <w:ind w:left="709" w:firstLine="0"/>
        <w:rPr>
          <w:lang w:val="uk-UA"/>
        </w:rPr>
      </w:pPr>
      <w:r w:rsidRPr="004E4226">
        <w:rPr>
          <w:lang w:val="uk-UA"/>
        </w:rPr>
        <w:t>4</w:t>
      </w:r>
      <w:r w:rsidR="0012776C">
        <w:rPr>
          <w:lang w:val="uk-UA"/>
        </w:rPr>
        <w:t xml:space="preserve">.3. Операції з готівкою </w:t>
      </w:r>
    </w:p>
    <w:p w:rsidR="0012776C" w:rsidRDefault="004E4226" w:rsidP="0012776C">
      <w:pPr>
        <w:ind w:left="709" w:firstLine="0"/>
        <w:rPr>
          <w:lang w:val="uk-UA"/>
        </w:rPr>
      </w:pPr>
      <w:r w:rsidRPr="004E4226">
        <w:t>4</w:t>
      </w:r>
      <w:r w:rsidR="0012776C">
        <w:rPr>
          <w:lang w:val="uk-UA"/>
        </w:rPr>
        <w:t xml:space="preserve">.4. Операції з оплати праці </w:t>
      </w:r>
    </w:p>
    <w:p w:rsidR="0012776C" w:rsidRDefault="0012776C" w:rsidP="0012776C">
      <w:pPr>
        <w:jc w:val="both"/>
        <w:rPr>
          <w:lang w:val="uk-UA"/>
        </w:rPr>
      </w:pPr>
    </w:p>
    <w:p w:rsidR="0012776C" w:rsidRDefault="004E4226" w:rsidP="0012776C">
      <w:pPr>
        <w:ind w:left="709" w:firstLine="0"/>
        <w:rPr>
          <w:b/>
          <w:lang w:val="uk-UA"/>
        </w:rPr>
      </w:pPr>
      <w:r w:rsidRPr="004E4226">
        <w:rPr>
          <w:b/>
        </w:rPr>
        <w:t>4</w:t>
      </w:r>
      <w:r w:rsidR="0012776C">
        <w:rPr>
          <w:b/>
          <w:lang w:val="uk-UA"/>
        </w:rPr>
        <w:t xml:space="preserve">.1. Реєстраційні документи підприємства </w:t>
      </w:r>
    </w:p>
    <w:p w:rsidR="0012776C" w:rsidRDefault="0012776C" w:rsidP="0012776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Питання реєстрації підприємства регламентовано Законом України «</w:t>
      </w:r>
      <w:r w:rsidRPr="002234D1">
        <w:rPr>
          <w:bCs/>
          <w:i/>
          <w:iCs/>
          <w:szCs w:val="28"/>
          <w:shd w:val="clear" w:color="auto" w:fill="FFFFFF"/>
          <w:lang w:val="uk-UA"/>
        </w:rPr>
        <w:t>Про державну реєстрацію юридичних осіб, фізичних осіб – підприємців та громадських формувань</w:t>
      </w:r>
      <w:r>
        <w:rPr>
          <w:bCs/>
          <w:szCs w:val="28"/>
          <w:shd w:val="clear" w:color="auto" w:fill="FFFFFF"/>
          <w:lang w:val="uk-UA"/>
        </w:rPr>
        <w:t xml:space="preserve">» </w:t>
      </w:r>
      <w:r>
        <w:rPr>
          <w:szCs w:val="28"/>
          <w:lang w:val="uk-UA"/>
        </w:rPr>
        <w:t>№ 755-IV, а отримання ліцензій на здійснення господарської діяльності – Законом України № 222–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III «</w:t>
      </w:r>
      <w:r w:rsidRPr="002234D1">
        <w:rPr>
          <w:bCs/>
          <w:i/>
          <w:iCs/>
          <w:color w:val="333333"/>
          <w:szCs w:val="28"/>
          <w:shd w:val="clear" w:color="auto" w:fill="FFFFFF"/>
          <w:lang w:val="uk-UA"/>
        </w:rPr>
        <w:t>Про ліцензування видів господарської діяльності</w:t>
      </w:r>
      <w:r>
        <w:rPr>
          <w:bCs/>
          <w:color w:val="333333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.</w:t>
      </w:r>
    </w:p>
    <w:p w:rsidR="0012776C" w:rsidRDefault="0012776C" w:rsidP="0012776C">
      <w:pPr>
        <w:jc w:val="both"/>
        <w:rPr>
          <w:bCs/>
          <w:szCs w:val="28"/>
          <w:shd w:val="clear" w:color="auto" w:fill="FFFFFF"/>
          <w:lang w:val="uk-UA"/>
        </w:rPr>
      </w:pPr>
      <w:r>
        <w:rPr>
          <w:lang w:val="uk-UA"/>
        </w:rPr>
        <w:t xml:space="preserve">Нормативно-правовим документом, що регламентує порядок оформлення матеріалів податкової перевірки, є </w:t>
      </w:r>
      <w:r>
        <w:rPr>
          <w:bCs/>
          <w:szCs w:val="28"/>
          <w:shd w:val="clear" w:color="auto" w:fill="FFFFFF"/>
          <w:lang w:val="uk-UA"/>
        </w:rPr>
        <w:t>Наказ міністерства фінансів України № 727 «</w:t>
      </w:r>
      <w:r w:rsidR="002234D1" w:rsidRPr="002234D1">
        <w:rPr>
          <w:bCs/>
          <w:i/>
          <w:iCs/>
          <w:szCs w:val="28"/>
          <w:shd w:val="clear" w:color="auto" w:fill="FFFFFF"/>
          <w:lang w:val="uk-UA"/>
        </w:rPr>
        <w:t>Про затвердження Порядку оформлення результатів документальних перевірок дотримання законодавства України з питань податкового, валютного та іншого законодавства платниками податків</w:t>
      </w:r>
      <w:r>
        <w:rPr>
          <w:bCs/>
          <w:szCs w:val="28"/>
          <w:shd w:val="clear" w:color="auto" w:fill="FFFFFF"/>
          <w:lang w:val="uk-UA"/>
        </w:rPr>
        <w:t>» від 20.08.2015 р.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При перевірці реєстраційних та дозвільних документів підприємства </w:t>
      </w:r>
      <w:r w:rsidRPr="002234D1">
        <w:rPr>
          <w:b/>
          <w:bCs/>
          <w:i/>
          <w:iCs/>
          <w:u w:val="single"/>
          <w:lang w:val="uk-UA"/>
        </w:rPr>
        <w:t>податковий інспектор має перевірити такі напрямки</w:t>
      </w:r>
      <w:r>
        <w:rPr>
          <w:lang w:val="uk-UA"/>
        </w:rPr>
        <w:t xml:space="preserve">: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1. Проведення установчих зборів для визначення організаційно-правової форми підприємства та правильність складання реєстраційних документів підприємства (наявність </w:t>
      </w:r>
      <w:r w:rsidR="002234D1">
        <w:rPr>
          <w:lang w:val="uk-UA"/>
        </w:rPr>
        <w:t>статуту</w:t>
      </w:r>
      <w:r>
        <w:rPr>
          <w:lang w:val="uk-UA"/>
        </w:rPr>
        <w:t xml:space="preserve"> чи засновницького договору).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2. Порядок формування статутного капіталу. При цьому мінімальний розмір статутного капіталу встановлено законодавчо не для всіх юридичних осіб (наприклад, не встановлено для приватних підприємств). Для акціонерних товариств він становить 1 250 мінімальних зарплат.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Для товариства з обмеженої відповідальністю статутний капітал складається із внесків учасників і дорівнює сумі вартості таких внесків. Це </w:t>
      </w:r>
      <w:r>
        <w:rPr>
          <w:lang w:val="uk-UA"/>
        </w:rPr>
        <w:lastRenderedPageBreak/>
        <w:t xml:space="preserve">означає, що засновники товариства з обмеженою відповідальністю самостійно можуть визначати розмір статутного капіталу.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3. Порядок та форма внесення засновниками внесків до статутного капіталу. У статуті має бути передбачена форма внесення внесків: будь-яка, тільки грошова або тільки майнова.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4. Оціночна вартість майна, якщо внески до статутного капіталу здійснювались у майновій формі. Для державних підприємств майно має бути оцінено спеціальними суб’єктами оцінної діяльності, а для інших підприємств – за узгодженням із засновниками.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5. Наявність виписки з Єдиного державного реєстру юридичних осіб та фізичних осіб-підприємців (цей документ замінив свідоцтво про державну реєстрацію).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6. Наявність ліцензій або патентів на здійснення господарської діяльності, дотримання порядку їх отримання та своєчасність оплати їх вартості.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7. Наявність відокремлених підрозділів підприємства та реєстраційних і дозвільних документів. </w:t>
      </w:r>
    </w:p>
    <w:p w:rsidR="0012776C" w:rsidRDefault="0012776C" w:rsidP="0012776C">
      <w:pPr>
        <w:jc w:val="both"/>
        <w:rPr>
          <w:lang w:val="uk-UA"/>
        </w:rPr>
      </w:pPr>
    </w:p>
    <w:p w:rsidR="0012776C" w:rsidRDefault="004E4226" w:rsidP="0012776C">
      <w:pPr>
        <w:jc w:val="both"/>
        <w:rPr>
          <w:b/>
          <w:lang w:val="uk-UA"/>
        </w:rPr>
      </w:pPr>
      <w:r w:rsidRPr="002234D1">
        <w:rPr>
          <w:b/>
        </w:rPr>
        <w:t>4</w:t>
      </w:r>
      <w:r w:rsidR="0012776C">
        <w:rPr>
          <w:b/>
          <w:lang w:val="uk-UA"/>
        </w:rPr>
        <w:t xml:space="preserve">.2. Розрахункові операції </w:t>
      </w:r>
    </w:p>
    <w:p w:rsidR="0012776C" w:rsidRDefault="0012776C" w:rsidP="0012776C">
      <w:pPr>
        <w:jc w:val="both"/>
        <w:rPr>
          <w:bCs/>
          <w:szCs w:val="28"/>
          <w:shd w:val="clear" w:color="auto" w:fill="FFFFFF"/>
          <w:lang w:val="uk-UA"/>
        </w:rPr>
      </w:pPr>
      <w:r>
        <w:rPr>
          <w:lang w:val="uk-UA"/>
        </w:rPr>
        <w:t xml:space="preserve">Нормативно-правовим документом, що регламентує порядок оформлення матеріалів податкової перевірки, є </w:t>
      </w:r>
      <w:r>
        <w:rPr>
          <w:bCs/>
          <w:szCs w:val="28"/>
          <w:shd w:val="clear" w:color="auto" w:fill="FFFFFF"/>
          <w:lang w:val="uk-UA"/>
        </w:rPr>
        <w:t>Наказ міністерства фінансів України № 727 «</w:t>
      </w:r>
      <w:r w:rsidR="002234D1" w:rsidRPr="002234D1">
        <w:rPr>
          <w:bCs/>
          <w:szCs w:val="28"/>
          <w:shd w:val="clear" w:color="auto" w:fill="FFFFFF"/>
          <w:lang w:val="uk-UA"/>
        </w:rPr>
        <w:t>Про затвердження Порядку оформлення результатів документальних перевірок дотримання законодавства України з питань податкового, валютного та іншого законодавства платниками податків</w:t>
      </w:r>
      <w:r>
        <w:rPr>
          <w:bCs/>
          <w:szCs w:val="28"/>
          <w:shd w:val="clear" w:color="auto" w:fill="FFFFFF"/>
          <w:lang w:val="uk-UA"/>
        </w:rPr>
        <w:t>» від 20.08.2015 р.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При перевірці розрахункових операцій підприємства </w:t>
      </w:r>
      <w:r w:rsidRPr="002234D1">
        <w:rPr>
          <w:b/>
          <w:bCs/>
          <w:i/>
          <w:iCs/>
          <w:u w:val="single"/>
          <w:lang w:val="uk-UA"/>
        </w:rPr>
        <w:t xml:space="preserve">податковий інспектор має перевірити такі напрямки: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1. Наявність зареєстрованого та опломбованого в установленому порядку реєстратора розрахункових операцій.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lastRenderedPageBreak/>
        <w:t xml:space="preserve">2. Наявність </w:t>
      </w:r>
      <w:r w:rsidR="002234D1">
        <w:rPr>
          <w:lang w:val="uk-UA"/>
        </w:rPr>
        <w:t>К</w:t>
      </w:r>
      <w:r>
        <w:rPr>
          <w:lang w:val="uk-UA"/>
        </w:rPr>
        <w:t xml:space="preserve">ниги обліку розрахункових операцій та розрахункової книжки.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3. Своєчасність подання до податкових органів звітності, що пов'язана із застосуванням реєстратора розрахункових операцій та розрахункових книжок (не пізніше 15 числа наступного за звітним місяця).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4. Наявність щоденного роздрукування на реєстраторах розрахункових операцій (за виключенням автоматів з продажу товарів (послуг) фіскальних звітних </w:t>
      </w:r>
      <w:proofErr w:type="spellStart"/>
      <w:r>
        <w:rPr>
          <w:lang w:val="uk-UA"/>
        </w:rPr>
        <w:t>чеків</w:t>
      </w:r>
      <w:proofErr w:type="spellEnd"/>
      <w:r>
        <w:rPr>
          <w:lang w:val="uk-UA"/>
        </w:rPr>
        <w:t xml:space="preserve"> та контрольних стрічок.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5. Правильність ведення обліку товарних запасів на складах та/або за місцем їх реалізації, здійснення продажу лише тих товарів, які відображені в такому обліку, за винятком продажу товарів особами, які відповідно до законодавства оподатковуються за правилами, що не передбачають ведення обліку обсягів реалізованих товарів (наданих послуг).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6. Надання покупцю товарів (послуг) за його вимогою чека, накладної або іншого письмового документа, що засвідчує передання права власності на них від продавця до покупця.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7. Наявність режиму попереднього програмування найменування, цін товарів (послуг) та обліку їх кількості.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8. Наявність змін, що внесені в конструкцію чи програмне забезпечення реєстратора розрахункових операцій і не передбачені </w:t>
      </w:r>
      <w:proofErr w:type="spellStart"/>
      <w:r>
        <w:rPr>
          <w:lang w:val="uk-UA"/>
        </w:rPr>
        <w:t>конструкторсько</w:t>
      </w:r>
      <w:proofErr w:type="spellEnd"/>
      <w:r>
        <w:rPr>
          <w:lang w:val="uk-UA"/>
        </w:rPr>
        <w:t xml:space="preserve">-технологічною та програмною документацією виробника. </w:t>
      </w:r>
    </w:p>
    <w:p w:rsidR="0012776C" w:rsidRDefault="0012776C" w:rsidP="0012776C">
      <w:pPr>
        <w:jc w:val="both"/>
        <w:rPr>
          <w:lang w:val="uk-UA"/>
        </w:rPr>
      </w:pPr>
    </w:p>
    <w:p w:rsidR="0012776C" w:rsidRDefault="004E4226" w:rsidP="0012776C">
      <w:pPr>
        <w:jc w:val="both"/>
        <w:rPr>
          <w:lang w:val="uk-UA"/>
        </w:rPr>
      </w:pPr>
      <w:r w:rsidRPr="002234D1">
        <w:rPr>
          <w:b/>
          <w:lang w:val="uk-UA"/>
        </w:rPr>
        <w:t>4</w:t>
      </w:r>
      <w:r w:rsidR="0012776C">
        <w:rPr>
          <w:b/>
          <w:lang w:val="uk-UA"/>
        </w:rPr>
        <w:t>.3. Операції з готівкою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Порядок здійснення операцій з готівковими коштами визначено «</w:t>
      </w:r>
      <w:r w:rsidRPr="00951D64">
        <w:rPr>
          <w:i/>
          <w:iCs/>
          <w:lang w:val="uk-UA"/>
        </w:rPr>
        <w:t>Положенням про ведення касових операцій у національній валюті в Україні</w:t>
      </w:r>
      <w:r>
        <w:rPr>
          <w:lang w:val="uk-UA"/>
        </w:rPr>
        <w:t xml:space="preserve">», що затверджене Постановою правління НБУ від 29.12.2017 г. № 148, та «Методичними рекомендаціями щодо порядку проведення перевірок з питань дотримання суб'єктами господарювання касової дисципліни, повноти оприбуткування виручки від реалізації товарів </w:t>
      </w:r>
      <w:r>
        <w:rPr>
          <w:lang w:val="uk-UA"/>
        </w:rPr>
        <w:lastRenderedPageBreak/>
        <w:t>(послуг)», що затверджені Наказом Державної податкової адміністрації України від 23 квітня 2009 року № 210.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При перевірці операцій з готівкою підприємства </w:t>
      </w:r>
      <w:r w:rsidRPr="002234D1">
        <w:rPr>
          <w:b/>
          <w:bCs/>
          <w:i/>
          <w:iCs/>
          <w:u w:val="single"/>
          <w:lang w:val="uk-UA"/>
        </w:rPr>
        <w:t xml:space="preserve">податковий інспектор має перевірити такі напрямки: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1. Наявність каси як складової структурного підрозділу підприємства (тільки приватні підприємства не повинні мати касу).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2. Встановлення та дотримання ліміту каси (приватні підприємства можуть не встановлювати ліміт каси). Установлення ліміту каси проводиться підприємствами самостійно на підставі </w:t>
      </w:r>
      <w:r w:rsidRPr="002234D1">
        <w:rPr>
          <w:i/>
          <w:iCs/>
          <w:lang w:val="uk-UA"/>
        </w:rPr>
        <w:t>розрахунку встановлення ліміту залишку готівки в касі</w:t>
      </w:r>
      <w:r>
        <w:rPr>
          <w:lang w:val="uk-UA"/>
        </w:rPr>
        <w:t xml:space="preserve">, що підписується головним бухгалтером та керівником підприємства. Ліміт каси підприємства встановлюють на підставі розрахунку середньоденного надходження готівки до каси або її середньоденної видачі з каси. Підприємства, що розпочинають свою діяльність, а також підприємства, діяльність яких була пов'язана виключно з безготівковими розрахунками та які отримують право на здійснення додаткового виду діяльності, що передбачає здійснення готівкових розрахунків, на перші три місяці їх роботи ліміт каси встановлюють згідно з прогнозними розрахунками. Установлений з урахуванням прогнозних розрахунків ліміт каси у двотижневий строк після закінчення перших трьох місяців їх роботи переглядається за фактичними показниками діяльності.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3. Правильність документального оформлення документації за касовими операціями (прибутковий та видатковий касові ордери, касова книга, журнал реєстрації прибуткових і видаткових касових документів та книга обліку прийнятих і виданих касиром грошей).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4. Повне та своєчасне оприбутковування готівки у касі.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5. Своєчасність здавання грошових коштів до установи банку.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6. Дотримання умов проведення розрахунків за готівку з іншими юридичними особами або фізичними особами-підприємцями (сума готівки, видана з каси, не може перевищувати 10 000 грн).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lastRenderedPageBreak/>
        <w:t xml:space="preserve">7. Дотримання термінів зберігання грошових коштів, отриманих на виплату заробітної плати, а також пенсій, стипендій, дивідендів (доходу).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8. Цільове витрачання готівкових коштів з каси.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9. Своєчасність звітування фізичних осіб, які отримали кошти підзвіт.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За результатами перевірки складається акт, а у разі відсутності порушення суб'єктами господарювання вимог чинного законодавства – довідка.</w:t>
      </w:r>
    </w:p>
    <w:p w:rsidR="0012776C" w:rsidRDefault="0012776C" w:rsidP="0012776C">
      <w:pPr>
        <w:jc w:val="both"/>
        <w:rPr>
          <w:lang w:val="uk-UA"/>
        </w:rPr>
      </w:pPr>
    </w:p>
    <w:p w:rsidR="0012776C" w:rsidRDefault="004E4226" w:rsidP="0012776C">
      <w:pPr>
        <w:ind w:left="709" w:firstLine="0"/>
        <w:rPr>
          <w:b/>
          <w:lang w:val="uk-UA"/>
        </w:rPr>
      </w:pPr>
      <w:r w:rsidRPr="002234D1">
        <w:rPr>
          <w:b/>
        </w:rPr>
        <w:t>4</w:t>
      </w:r>
      <w:r w:rsidR="0012776C">
        <w:rPr>
          <w:b/>
          <w:lang w:val="uk-UA"/>
        </w:rPr>
        <w:t xml:space="preserve">.4. Операції з оплати праці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Порядок здійснення операцій з оплати праці регламентується </w:t>
      </w:r>
      <w:r w:rsidRPr="00951D64">
        <w:rPr>
          <w:i/>
          <w:iCs/>
          <w:lang w:val="uk-UA"/>
        </w:rPr>
        <w:t>Кодексом законів про працю України</w:t>
      </w:r>
      <w:r>
        <w:rPr>
          <w:lang w:val="uk-UA"/>
        </w:rPr>
        <w:t xml:space="preserve"> від 10 грудня 1971 року № 322-VIII.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Сьогодні питання дотримання правильності здійснення операцій з оплати праці є предметом фактичної податкової перевірки, порядок проведення якої регламентовано Податковим кодексом України.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При перевірці правильності здійснення операцій з оплати праці слід звернути увагу </w:t>
      </w:r>
      <w:r w:rsidRPr="00951D64">
        <w:rPr>
          <w:b/>
          <w:bCs/>
          <w:i/>
          <w:iCs/>
          <w:u w:val="single"/>
          <w:lang w:val="uk-UA"/>
        </w:rPr>
        <w:t>на такі напрямки</w:t>
      </w:r>
      <w:r>
        <w:rPr>
          <w:lang w:val="uk-UA"/>
        </w:rPr>
        <w:t xml:space="preserve">: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1. Наявність колективного договору на підприємстві, в якому зазначені основні питання, пов’язані з оплатою праці (наприклад, кількість виплат протягом місяця та конкретні дати здійснення виплат).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2. Документальне оформлення трудових відносин з робітниками підприємства (трудовий договір, договір цивільно-правового характеру, заяви, накази, контракти, трудові книжки). </w:t>
      </w:r>
    </w:p>
    <w:p w:rsidR="0012776C" w:rsidRDefault="0012776C" w:rsidP="0012776C">
      <w:pPr>
        <w:jc w:val="both"/>
        <w:rPr>
          <w:rFonts w:cs="Times New Roman"/>
          <w:lang w:val="uk-UA"/>
        </w:rPr>
      </w:pPr>
      <w:r>
        <w:rPr>
          <w:lang w:val="uk-UA"/>
        </w:rPr>
        <w:t xml:space="preserve">3. Правильність визначення </w:t>
      </w:r>
      <w:proofErr w:type="spellStart"/>
      <w:r>
        <w:rPr>
          <w:lang w:val="uk-UA"/>
        </w:rPr>
        <w:t>середньоспискової</w:t>
      </w:r>
      <w:proofErr w:type="spellEnd"/>
      <w:r>
        <w:rPr>
          <w:lang w:val="uk-UA"/>
        </w:rPr>
        <w:t xml:space="preserve"> чисельності працівників підприємства. Наявність на підприємстві інвалідів, згідно з нормами </w:t>
      </w:r>
      <w:r>
        <w:rPr>
          <w:rFonts w:cs="Times New Roman"/>
          <w:shd w:val="clear" w:color="auto" w:fill="FFFFFF"/>
          <w:lang w:val="uk-UA"/>
        </w:rPr>
        <w:t>Закону України «Про основи соціальної захищеності інвалідів в Україні» від 21 березня 1991 року № 875-</w:t>
      </w:r>
      <w:r>
        <w:rPr>
          <w:rFonts w:cs="Times New Roman"/>
          <w:shd w:val="clear" w:color="auto" w:fill="FFFFFF"/>
        </w:rPr>
        <w:t>XII</w:t>
      </w:r>
      <w:r>
        <w:rPr>
          <w:rFonts w:cs="Times New Roman"/>
          <w:lang w:val="uk-UA"/>
        </w:rPr>
        <w:t>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4. Правильність і своєчасність нарахув</w:t>
      </w:r>
      <w:bookmarkStart w:id="0" w:name="_GoBack"/>
      <w:bookmarkEnd w:id="0"/>
      <w:r>
        <w:rPr>
          <w:lang w:val="uk-UA"/>
        </w:rPr>
        <w:t>ання та виплати заробітної плати (наявність та складання первинних документів на: табель обліку робочого часу, картку обліку виробітки, розрахунково-платіжну відомість).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lastRenderedPageBreak/>
        <w:t>5. Правильність розрахунку та оформлення премій, матеріальної допомоги, сум на відпустку, лікарняних.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 xml:space="preserve">6. Дотримання розміру мінімальної заробітної плати. </w:t>
      </w:r>
    </w:p>
    <w:p w:rsidR="0012776C" w:rsidRDefault="0012776C" w:rsidP="0012776C">
      <w:pPr>
        <w:jc w:val="both"/>
        <w:rPr>
          <w:lang w:val="uk-UA"/>
        </w:rPr>
      </w:pPr>
      <w:r>
        <w:rPr>
          <w:lang w:val="uk-UA"/>
        </w:rPr>
        <w:t>7. Правомірність натуральної виплати заробітної плати згідно з нормами Постанови Кабінету Міністрів України від 3 квітня 1993 року № 244.</w:t>
      </w:r>
    </w:p>
    <w:p w:rsidR="00CB2384" w:rsidRPr="0012776C" w:rsidRDefault="00CB2384">
      <w:pPr>
        <w:rPr>
          <w:lang w:val="uk-UA"/>
        </w:rPr>
      </w:pPr>
    </w:p>
    <w:sectPr w:rsidR="00CB2384" w:rsidRPr="0012776C" w:rsidSect="00CB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76C"/>
    <w:rsid w:val="0012776C"/>
    <w:rsid w:val="002234D1"/>
    <w:rsid w:val="004E4226"/>
    <w:rsid w:val="00951D64"/>
    <w:rsid w:val="00C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53C6"/>
  <w15:docId w15:val="{1F17AAFD-47E6-4D14-89C7-97BCEC6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5477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Julia Synytsia</cp:lastModifiedBy>
  <cp:revision>3</cp:revision>
  <dcterms:created xsi:type="dcterms:W3CDTF">2020-09-18T09:24:00Z</dcterms:created>
  <dcterms:modified xsi:type="dcterms:W3CDTF">2023-09-26T08:09:00Z</dcterms:modified>
</cp:coreProperties>
</file>