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7A" w:rsidRPr="0051797A" w:rsidRDefault="0051797A" w:rsidP="005179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МЕТОДИ ВИМІРЮВАННЯ ПАРАМЕТРІВ НАВКОЛИШНЬОГО СЕРЕДОВИЩА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Викладач: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кандидат технічних наук Чаусовський Григорій Олександроаич</w:t>
      </w:r>
    </w:p>
    <w:p w:rsidR="0051797A" w:rsidRPr="0051797A" w:rsidRDefault="0051797A" w:rsidP="0051797A">
      <w:pPr>
        <w:tabs>
          <w:tab w:val="left" w:pos="894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Кафедра: </w:t>
      </w:r>
      <w:r w:rsidRPr="0051797A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З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агальної та прикладної екології і зоології ІІІ корпус, ауд.113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E-mail: 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64866@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rambler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.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ru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Телефон: </w:t>
      </w:r>
      <w:r w:rsidRPr="0051797A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0673876537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Інші засоби зв’язку: 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51797A" w:rsidRPr="0051797A" w:rsidTr="00C042B5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Освітня програма, рівень вищої освіти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Загальна та прикладна екологія і зоологія</w:t>
            </w:r>
          </w:p>
          <w:p w:rsidR="0051797A" w:rsidRPr="0051797A" w:rsidRDefault="0051797A" w:rsidP="0051797A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51797A" w:rsidRPr="0051797A" w:rsidTr="00C042B5">
        <w:trPr>
          <w:trHeight w:val="239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51797A" w:rsidRPr="0051797A" w:rsidTr="00C042B5">
        <w:trPr>
          <w:trHeight w:val="250"/>
        </w:trPr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Навч. 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2020-21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Тижні</w:t>
            </w: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797A" w:rsidRPr="0051797A" w:rsidTr="00C042B5">
        <w:trPr>
          <w:trHeight w:val="250"/>
        </w:trPr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Кількість змістових модулів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Лекційні заняття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97A">
              <w:rPr>
                <w:rFonts w:ascii="Times New Roman" w:eastAsia="MS Mincho" w:hAnsi="Times New Roman" w:cs="Times New Roman"/>
                <w:sz w:val="24"/>
                <w:szCs w:val="24"/>
              </w:rPr>
              <w:t>– 16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Практичні заняття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97A">
              <w:rPr>
                <w:rFonts w:ascii="Times New Roman" w:eastAsia="MS Mincho" w:hAnsi="Times New Roman" w:cs="Times New Roman"/>
                <w:sz w:val="24"/>
                <w:szCs w:val="24"/>
              </w:rPr>
              <w:t>– 16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38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Інд.завдання-38</w:t>
            </w:r>
          </w:p>
        </w:tc>
      </w:tr>
      <w:tr w:rsidR="0051797A" w:rsidRPr="0051797A" w:rsidTr="00C042B5">
        <w:trPr>
          <w:trHeight w:val="25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50"/>
        </w:trPr>
        <w:tc>
          <w:tcPr>
            <w:tcW w:w="42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Посилання на курс в Moodle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https://moodle.znu.edu.ua/course/view.php?id=1241</w:t>
            </w:r>
          </w:p>
        </w:tc>
      </w:tr>
      <w:tr w:rsidR="0051797A" w:rsidRPr="0051797A" w:rsidTr="00C042B5">
        <w:trPr>
          <w:trHeight w:val="250"/>
        </w:trPr>
        <w:tc>
          <w:tcPr>
            <w:tcW w:w="1017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Консультації: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особисті – згідно розкладу, ІІІ корпус, ауд. 113; дистанційні – електронна пошта.</w:t>
            </w:r>
          </w:p>
        </w:tc>
      </w:tr>
    </w:tbl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ОПИС КУРСУ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Курс має на </w:t>
      </w:r>
      <w:r w:rsidRPr="0051797A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>меті</w:t>
      </w:r>
      <w:r w:rsidRPr="0051797A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сформувати у студентів цілісне уявлення про т</w:t>
      </w:r>
      <w:r w:rsidRPr="0051797A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еоретичні і практичні основи застосування методів вимірювання в сфері позитивного вирішення екологічних проблем. </w:t>
      </w:r>
      <w:r w:rsidRPr="0051797A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Знайомство з сучасними методами вимірювання параметрів навколишнього середовища дозволить  студентам впевнено почуватися у науковому екологічному просторі та вільно орієнтуватися у спеціальній термінології, поглибить знання в сфері використання методів вимірювання параметрів навколишнього середовища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Дисципліна сприятиме формуванню знань та практичних вмінь з питань проектування та практичної експлуатації сучасних </w:t>
      </w:r>
      <w:r w:rsidRPr="0051797A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методів вимірювання параметрів навколишнього середовища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. </w:t>
      </w:r>
      <w:r w:rsidRPr="0051797A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Виконання практичних завдань спонукає до розвитку навичок командної роботи, організаційних та лідерських якостей в сфері  позитивного вирішення сучасних екологічних проблем, зокрема, використання методів вимірювання для формування ефективного екологічного моніторингу.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ОЧІКУВАНІ РЕЗУЛЬТАТИ НАВЧАННЯ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У разі успішного завершення курсу студент </w:t>
      </w: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uk-UA"/>
        </w:rPr>
        <w:t>зможе</w:t>
      </w: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: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знати інженерно-екологічну термінологію та номенклатуру, описувати структурні схеми сучасних методів вимірювання параметрів навколишнього середовища   (РНУ-2);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пояснити зв’язок між фізико-хімічними властивостямиї. забруднювачів довкілля та принципами вимірювання параметрів навколишнього середовища(РНУ-6) 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знати способи оптимізації вибору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методів вимірювання параметрів навколишнього середовища </w:t>
      </w:r>
      <w:r w:rsidRPr="0051797A">
        <w:rPr>
          <w:rFonts w:ascii="Times New Roman" w:eastAsia="MS Mincho" w:hAnsi="Times New Roman" w:cs="Times New Roman"/>
          <w:sz w:val="24"/>
          <w:szCs w:val="24"/>
        </w:rPr>
        <w:t>для конкретних практичних екологічних задач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здійснювати критичний аналіз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сучасних методів вимірювання параметрів навколишнього середовища</w:t>
      </w: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(РНУ-10);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здійснювати керівництво експериментальною роботою по оптимізації експлуатації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сучасних методів вимірювання параметрів навколишнього середовища </w:t>
      </w:r>
      <w:r w:rsidRPr="0051797A">
        <w:rPr>
          <w:rFonts w:ascii="Times New Roman" w:eastAsia="MS Mincho" w:hAnsi="Times New Roman" w:cs="Times New Roman"/>
          <w:sz w:val="24"/>
          <w:szCs w:val="24"/>
        </w:rPr>
        <w:t>(РНУ-11) 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використовувати набуті знання та вміння для формування практичних навичок в сфері оптимального вікористання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сучасних методів вимірювання параметрів навколишнього середовища </w:t>
      </w:r>
      <w:r w:rsidRPr="0051797A">
        <w:rPr>
          <w:rFonts w:ascii="Times New Roman" w:eastAsia="MS Mincho" w:hAnsi="Times New Roman" w:cs="Times New Roman"/>
          <w:sz w:val="24"/>
          <w:szCs w:val="24"/>
        </w:rPr>
        <w:t>(РНУ-9).;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працювати самостійно або в групі, отримати результат у межах обмеженого часу з наголосом на професійну сумлінність та наукову доброчесність (РНУ-5);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демонструвана  знання та розуміння основних фактів, концепцій, принципів, законів і теорій в сфері використання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сучасних методів вимірювання параметрів навколишнього середовища</w:t>
      </w: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(РНУ-13)  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ввміти інтерпретувати експериментально отримані дані та співвідносити їх з відповідними теоретичними основами (РНУ-6);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інтерпретувати експериментально отримані дані та співвідносити їх з відповідними теоретичними підходами до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сучасних методів вимірювання параметрів навколишнього середовища</w:t>
      </w: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(РНУ-5);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здійснювати моніторинг та аналіз наукових джерел інформації та фахової літератури (РНУ-16);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використовувати набуті знання та компетенції з інженерної екології в прикладному полі,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сучасних методів вимірювання параметрів навколишнього середовища</w:t>
      </w: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(РНУ-17);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коректно використовувати мовні засоби в професійній діяльності залежно від мети спілкування (РНК-2);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використовувати сучасні інформаційно- комунікаційні технології при спілкуванні, а також для збору, аналізу, обробки, інтерпретації даних (РНК-6);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вести професійну діяльність з найменшими ризиками для навколишнього середовища (РНАіВ-1);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діяти соціально відповідально та громадянсько свідомо на основі етичних міркувань (РНАіВ-2);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>вчитись самостійно та самовдосконалюватися, нести відповідальність за власні судження та результати (РНАіВ-3);</w:t>
      </w:r>
    </w:p>
    <w:p w:rsidR="0051797A" w:rsidRPr="0051797A" w:rsidRDefault="0051797A" w:rsidP="0051797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sz w:val="24"/>
          <w:szCs w:val="24"/>
        </w:rPr>
        <w:t xml:space="preserve"> приймати обґрунтовані рішення та рухатися до спільної мети (РНАіВ-4).</w:t>
      </w:r>
    </w:p>
    <w:p w:rsidR="0051797A" w:rsidRPr="0051797A" w:rsidRDefault="0051797A" w:rsidP="005179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51797A" w:rsidRPr="0051797A" w:rsidRDefault="0051797A" w:rsidP="005179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ОСНОВНІ НАВЧАЛЬНІ РЕСУРСИ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Лекції, практичні заняття, підручники та посібники, методичні рекомендації до виконання індивідуальних завдань розміщені на платформі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: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https://moodle.znu.edu.ua/course/view.php?id=1241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 xml:space="preserve">КОНТРОЛЬНІ ЗАХОДИ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Поточні контрольні заходи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Обов</w:t>
      </w: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</w:rPr>
        <w:t>’</w:t>
      </w: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язкові види роботи: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Практичні заняття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2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бали за кожну роботу) – на кожному занятті.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Виконання домашнього завдання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1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бал) – до кожного лабораторного заняття. 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Письмова контрольна робота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14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балів)</w:t>
      </w: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– двічі на семестр, наприкінці кожного змістового модулю курсу. Контрольна робота складається з 3-х теоретичних питань, 1 задачі та тестів.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Проходження тестів в системі </w:t>
      </w:r>
      <w:r w:rsidRPr="0051797A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4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бали)</w:t>
      </w:r>
      <w:r w:rsidRPr="0051797A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.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Підсумкові контрольні заходи</w:t>
      </w: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Усна відповідь на заліку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25 балів) передбачає розгорнуте висвітлення двох питань. Перелік питань див. на сторінці курсу у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: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https://moodle.znu.edu.ua/course/view.php?id=1241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Захист індивідуального завдання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15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балів) здійснюється на заліковому тижні. Публічний захист є обов’язковою вимогою для зарахування результатів за даним видом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lastRenderedPageBreak/>
        <w:t xml:space="preserve">роботи. Методичні рекомендації до виконання ІДЗ та критерії оцінювання див. на сторінці курсу у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: 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>https://moodle.znu.edu.ua/course/view.php?id=1241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4252"/>
        <w:gridCol w:w="1764"/>
        <w:gridCol w:w="1248"/>
      </w:tblGrid>
      <w:tr w:rsidR="0051797A" w:rsidRPr="0051797A" w:rsidTr="00C042B5">
        <w:trPr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red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51797A" w:rsidRPr="0051797A" w:rsidTr="00C042B5">
        <w:trPr>
          <w:gridAfter w:val="1"/>
          <w:wAfter w:w="1248" w:type="dxa"/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26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 модуль 1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Практичне заняття №1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1-2</w:t>
            </w:r>
          </w:p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5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 модуль 1(розділ2)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Практичне заняття №2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3</w:t>
            </w:r>
          </w:p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Змістовий модуль 1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3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Практичне заняття №3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4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 модуль 1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4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5-6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Практичне заняття 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Проходження тестів в системі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 модуль 1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5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Практичне заняття №5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7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162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Змістовий модуль 2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8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6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32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 модуль 2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9</w:t>
            </w:r>
          </w:p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1797A" w:rsidRPr="0051797A" w:rsidTr="00C042B5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1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Змістовий модуль 2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3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10-11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51797A" w:rsidRPr="0051797A" w:rsidTr="00C042B5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Проходження тестів в системі </w:t>
            </w:r>
            <w:r w:rsidRPr="0051797A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51797A" w:rsidRPr="0051797A" w:rsidTr="00C042B5">
        <w:trPr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Захист індивідуального завдання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51797A" w:rsidRPr="0051797A" w:rsidTr="00C042B5">
        <w:trPr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1797A" w:rsidRPr="0051797A" w:rsidRDefault="0051797A" w:rsidP="0051797A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51797A" w:rsidRPr="0051797A" w:rsidRDefault="0051797A" w:rsidP="0051797A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51797A" w:rsidRPr="0051797A" w:rsidRDefault="0051797A" w:rsidP="0051797A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51797A" w:rsidRPr="0051797A" w:rsidRDefault="0051797A" w:rsidP="0051797A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253"/>
        <w:gridCol w:w="2126"/>
        <w:gridCol w:w="1873"/>
      </w:tblGrid>
      <w:tr w:rsidR="0051797A" w:rsidRPr="0051797A" w:rsidTr="00C042B5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51797A" w:rsidRPr="0051797A" w:rsidRDefault="0051797A" w:rsidP="0051797A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keepLines/>
              <w:spacing w:after="0" w:line="240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keepLines/>
              <w:tabs>
                <w:tab w:val="num" w:pos="0"/>
              </w:tabs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51797A" w:rsidRPr="0051797A" w:rsidTr="00C042B5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7A" w:rsidRPr="0051797A" w:rsidRDefault="0051797A" w:rsidP="0051797A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  <w:p w:rsidR="0051797A" w:rsidRPr="0051797A" w:rsidRDefault="0051797A" w:rsidP="0051797A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51797A" w:rsidRPr="0051797A" w:rsidTr="00C042B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797A" w:rsidRPr="0051797A" w:rsidRDefault="0051797A" w:rsidP="005179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РОЗКЛАД КУРСУ ЗА ТЕМАМИ І КОНТРОЛЬНІ ЗАВДАННЯ</w:t>
      </w:r>
    </w:p>
    <w:p w:rsidR="0051797A" w:rsidRPr="0051797A" w:rsidRDefault="0051797A" w:rsidP="005179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2611"/>
        <w:gridCol w:w="3045"/>
        <w:gridCol w:w="1275"/>
      </w:tblGrid>
      <w:tr w:rsidR="0051797A" w:rsidRPr="0051797A" w:rsidTr="00C042B5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і вид заняття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Тема </w:t>
            </w:r>
            <w:r w:rsidRPr="0051797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Контрольне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Кількість балів</w:t>
            </w:r>
          </w:p>
        </w:tc>
      </w:tr>
      <w:tr w:rsidR="0051797A" w:rsidRPr="0051797A" w:rsidTr="00C042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1797A" w:rsidRPr="0051797A" w:rsidTr="00C042B5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7A" w:rsidRPr="0051797A" w:rsidRDefault="0051797A" w:rsidP="005179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Класифікація методів вимірювання параметрів навколишнього середовища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1797A" w:rsidRPr="0051797A" w:rsidTr="00C042B5">
        <w:trPr>
          <w:trHeight w:val="14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Тиждень 2 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Методи вимірювання параметрів атмосфери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797A" w:rsidRPr="0051797A" w:rsidTr="00C042B5">
        <w:trPr>
          <w:trHeight w:val="95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Методи вимірювання параметрів літосфери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797A" w:rsidRPr="0051797A" w:rsidTr="00C042B5">
        <w:trPr>
          <w:trHeight w:val="9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4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51797A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Методи вимірювання параметрів гідросфери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Письмова контрольна робота.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Проходження тестів в системі </w:t>
            </w:r>
            <w:r w:rsidRPr="0051797A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en-US"/>
              </w:rPr>
              <w:t>Moodle</w:t>
            </w:r>
            <w:r w:rsidRPr="0051797A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1797A" w:rsidRPr="0051797A" w:rsidTr="00C042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1797A" w:rsidRPr="0051797A" w:rsidTr="00C042B5">
        <w:trPr>
          <w:trHeight w:val="132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lang w:val="uk-UA"/>
              </w:rPr>
              <w:t>Методологія екологічного контролю об’єктів довкілля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1797A" w:rsidRPr="0051797A" w:rsidTr="00C042B5">
        <w:trPr>
          <w:trHeight w:val="14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6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Інструментальні методи  оцінки санітарно-гігієнічних параметрів довкілля.</w:t>
            </w:r>
          </w:p>
          <w:p w:rsidR="0051797A" w:rsidRPr="0051797A" w:rsidRDefault="0051797A" w:rsidP="0051797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Практичне заняття </w:t>
            </w: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1797A" w:rsidRPr="0051797A" w:rsidTr="00C042B5">
        <w:trPr>
          <w:trHeight w:val="121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6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7A" w:rsidRPr="0051797A" w:rsidRDefault="0051797A" w:rsidP="0051797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інструменталізації методів вимірювання параметрів довкілля.</w:t>
            </w:r>
          </w:p>
          <w:p w:rsidR="0051797A" w:rsidRPr="0051797A" w:rsidRDefault="0051797A" w:rsidP="005179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Виконання домашнього завдання.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1797A" w:rsidRPr="0051797A" w:rsidTr="00C042B5">
        <w:trPr>
          <w:trHeight w:val="6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Метрологічні аспекти вимірювання параметрів </w:t>
            </w:r>
            <w:r w:rsidRPr="005179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навколишнього середовища.</w:t>
            </w:r>
          </w:p>
          <w:p w:rsidR="0051797A" w:rsidRPr="0051797A" w:rsidRDefault="0051797A" w:rsidP="0051797A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lastRenderedPageBreak/>
              <w:t>Письмова контрольна робота.</w:t>
            </w:r>
          </w:p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797A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Проходження тестів в системі </w:t>
            </w:r>
            <w:r w:rsidRPr="0051797A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A" w:rsidRPr="0051797A" w:rsidRDefault="0051797A" w:rsidP="005179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97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18</w:t>
            </w:r>
          </w:p>
        </w:tc>
      </w:tr>
    </w:tbl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51797A" w:rsidRPr="0051797A" w:rsidRDefault="0051797A" w:rsidP="0051797A">
      <w:pPr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Клименко М.О. Метрологія, стандартизація и сертифікація в екології.—</w:t>
      </w:r>
    </w:p>
    <w:p w:rsidR="0051797A" w:rsidRPr="0051797A" w:rsidRDefault="0051797A" w:rsidP="0051797A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К.: Академія, 2010.- 364с.</w:t>
      </w:r>
    </w:p>
    <w:p w:rsidR="0051797A" w:rsidRPr="0051797A" w:rsidRDefault="0051797A" w:rsidP="0051797A">
      <w:pPr>
        <w:numPr>
          <w:ilvl w:val="0"/>
          <w:numId w:val="2"/>
        </w:numPr>
        <w:tabs>
          <w:tab w:val="left" w:pos="36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Трояновський О.І. Моніторинг якості повітря.-Житомир.:Волинь,2011.-159с.</w:t>
      </w:r>
    </w:p>
    <w:p w:rsidR="0051797A" w:rsidRPr="0051797A" w:rsidRDefault="0051797A" w:rsidP="0051797A">
      <w:pPr>
        <w:numPr>
          <w:ilvl w:val="0"/>
          <w:numId w:val="2"/>
        </w:numPr>
        <w:tabs>
          <w:tab w:val="left" w:pos="36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Трояновський О.І. Моніторинг якості води.-Житомир.:Волинь,2010.-189с. </w:t>
      </w:r>
      <w:r w:rsidRPr="005179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ab/>
      </w:r>
    </w:p>
    <w:p w:rsidR="0051797A" w:rsidRPr="0051797A" w:rsidRDefault="0051797A" w:rsidP="0051797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   Перегуд Е.А. Химический аналіз воздуха.- Л.:, Химия, 1996. – 307с.</w:t>
      </w:r>
    </w:p>
    <w:p w:rsidR="0051797A" w:rsidRPr="0051797A" w:rsidRDefault="0051797A" w:rsidP="0051797A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51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  Кузов П.А. Методы  определения физико-химических свойств промышленных </w:t>
      </w:r>
    </w:p>
    <w:p w:rsidR="0051797A" w:rsidRPr="0051797A" w:rsidRDefault="0051797A" w:rsidP="0051797A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пылей.- Л.: Химия, 1985.-135с.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7.  Малита Д.М. и др. Современны методы определения загрязнений населеннях мест .- 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М.:Медицина. 2000– 147с.   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8.   Максимов М.Т.Радиоактивные загрязнения и их змерение.Учебн. пособие. – М.:  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Энергоатомщик.-2000, 215 с.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9.    Клименко А.П. Методи и прибори для измерения концентрации пыли.-М.:Химия.-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2011, 223с.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10.  Кораблева А.И. Введение в екологическую експертизу.- Днепропетровск- Поли-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Графист.- 2010,144с.</w:t>
      </w:r>
    </w:p>
    <w:p w:rsidR="0051797A" w:rsidRPr="0051797A" w:rsidRDefault="0051797A" w:rsidP="00517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11.  Головко Д.Б. Основи метрології та вимірювань.-К.: Либідь.- 2010,408с.</w:t>
      </w:r>
    </w:p>
    <w:p w:rsidR="0051797A" w:rsidRPr="0051797A" w:rsidRDefault="0051797A" w:rsidP="005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97A" w:rsidRPr="0051797A" w:rsidRDefault="0051797A" w:rsidP="005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Додаткова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              </w:t>
      </w: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1.   Леончик В.</w:t>
      </w: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И. Измерения  в дисперсных потоках. -М..: Энергия, 2008.-248с.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             2.   Трахтенберг И.М. Тяжелые металлы во внешней среде.- М.: Наука и техника. – 2010, 285с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             3 .   Пивоваров Ю.П. Руководство к лабораторным занятиям по гигиене .-М.: Гигиена.- 1999,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                     245с.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       4.   Федишин Б.М. Хімія та екологія атмосфери.-Київ.: Алерта.-2008,241с.</w:t>
      </w:r>
    </w:p>
    <w:p w:rsidR="0051797A" w:rsidRPr="0051797A" w:rsidRDefault="0051797A" w:rsidP="0051797A">
      <w:pPr>
        <w:shd w:val="clear" w:color="auto" w:fill="FFFFFF"/>
        <w:tabs>
          <w:tab w:val="left" w:pos="99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       5.    </w:t>
      </w: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Гордон Г.М. Контроль пылеулавливающих установок. -М.:</w:t>
      </w:r>
      <w:r w:rsidRPr="0051797A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 Металлургия, 1999, 384с.          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797A" w:rsidRPr="0051797A" w:rsidRDefault="0051797A" w:rsidP="005179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>РЕГУЛЯЦІЇ І ПОЛІТИКИ КУРСУ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51797A" w:rsidRPr="0051797A" w:rsidRDefault="0051797A" w:rsidP="0051797A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sz w:val="24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Характер курсу передбачає обов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’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язкове відвідування лабораторних занять. </w:t>
      </w:r>
      <w:r w:rsidRPr="0051797A">
        <w:rPr>
          <w:rFonts w:ascii="Times New Roman" w:eastAsia="Calibri" w:hAnsi="Times New Roman" w:cs="Times New Roman"/>
          <w:i/>
          <w:color w:val="000000"/>
          <w:sz w:val="24"/>
          <w:szCs w:val="28"/>
          <w:lang w:val="uk-UA"/>
        </w:rPr>
        <w:t xml:space="preserve">Здобувач вищої освіти має право на індивідуальний графік відвідування лекційних занять.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На лабораторних заняттях студенти повинні працювати в халатах, дотримуючись правил техніки безпеки в хімічній лабораторії. </w:t>
      </w:r>
      <w:r w:rsidRPr="0051797A">
        <w:rPr>
          <w:rFonts w:ascii="Times New Roman" w:eastAsia="MS Mincho" w:hAnsi="Times New Roman" w:cs="Times New Roman"/>
          <w:bCs/>
          <w:i/>
          <w:sz w:val="24"/>
          <w:szCs w:val="28"/>
          <w:lang w:val="uk-UA"/>
        </w:rPr>
        <w:t>Пропуски вважаються поважними, якщо представлені об'єктивні докази справжніх причин: хвороба студента, підтверджена довідкою (лікарняним листом) про тимчасову непрацездатність; попередньо отриманий дозвіл завідувача кафедри про пропуск зайнять за сімейними чи іншими поважними причинами (не більше 3-х навчальних днів за семестр); донорська довідка, повістка в військкомату.</w:t>
      </w:r>
      <w:r w:rsidRPr="0051797A">
        <w:rPr>
          <w:rFonts w:ascii="Times New Roman" w:eastAsia="MS Mincho" w:hAnsi="Times New Roman" w:cs="Times New Roman"/>
          <w:bCs/>
          <w:sz w:val="24"/>
          <w:szCs w:val="28"/>
          <w:lang w:val="uk-UA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Студенти, які за певних обставин не можуть відвідувати лабораторні заняття регулярно, мусять впродовж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lastRenderedPageBreak/>
        <w:t xml:space="preserve">тижня узгодити із викладачем графік індивідуального відпрацювання пропущених занять. Відпрацювання занять здійснюється усно у формі співбесіди за питаннями, визначеними планом заняття. В окремих випадках дозволяється письмове відпрацювання шляхом виконання індивідуального письмового завдання. </w:t>
      </w:r>
      <w:r w:rsidRPr="0051797A">
        <w:rPr>
          <w:rFonts w:ascii="Times New Roman" w:eastAsia="MS Mincho" w:hAnsi="Times New Roman" w:cs="Times New Roman"/>
          <w:bCs/>
          <w:i/>
          <w:sz w:val="24"/>
          <w:szCs w:val="28"/>
          <w:lang w:val="uk-UA"/>
        </w:rPr>
        <w:t>За наявності невідпрацьованих пропущених практичних занять студент до написання атестаційних робіт не допускається.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При виконанні індивідуального завдання будь-яка ідея, думка чи речення, ілюстрація чи фото, яке ви запозичуєте, має супроводжуватися посиланням на першоджерело. 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Wikipedia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, бази даних рефератів та письмових робіт (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Studopedia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.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org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та подібні) є неприпустимим. Рекомендовані бази даних для пошуку джерел: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Електронні ресурси Національної бібліотеки ім. Вернадського: </w:t>
      </w:r>
      <w:hyperlink r:id="rId7" w:history="1"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://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nbuv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Цифрова повнотекстова база даних англомовної наукової періодики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JSTOR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8" w:history="1"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://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.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jstor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.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51797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Використання мобільних телефонів, планшетів та інших гаджетів під час лекційних та лабораторних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Під час виконання заходів контролю (контрольних робіт, заліку) використання гаджетів заборонено. У разі порушення цієї заборони роботу буде анульовано.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Базовою платформою для комунікації викладача зі студентами є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</w:p>
    <w:p w:rsidR="0051797A" w:rsidRPr="0051797A" w:rsidRDefault="0051797A" w:rsidP="0051797A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Важливі повідомлення загального характеру регулярно розміщуються викладачем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на сторінці курсу. Для персональних запитів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використовується сервіс приватних повідомлень та електронна пошта. Для оперативного отримання повідомлень про оцінки та нову інформацію, розміщену на сторінці курсу у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будь ласка, переконайтеся, що адреса електронної пошти, зазначена у вашому профайлі на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є актуальною, та регулярно перевіряйте папку «Спам». Якщо за технічних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причин доступ до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є неможливим, або ваше питання потребує термінового розгляду, направте електронного листа з позначкою «Важливо» на адресу 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</w:rPr>
        <w:t>645866@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rambler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</w:rPr>
        <w:t>.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ru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</w:rPr>
        <w:t>.</w:t>
      </w:r>
      <w:r w:rsidRPr="0051797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У листі обов’язково вкажіть ваше прізвище та ім’я, курс та шифр академічної групи.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color w:val="000000"/>
          <w:sz w:val="28"/>
          <w:szCs w:val="28"/>
          <w:lang w:val="uk-UA"/>
        </w:rPr>
      </w:pPr>
      <w:r w:rsidRPr="0051797A">
        <w:rPr>
          <w:rFonts w:ascii="Cambria" w:eastAsia="MS Mincho" w:hAnsi="Cambria" w:cs="Cambria"/>
          <w:b/>
          <w:bCs/>
          <w:color w:val="000000"/>
          <w:sz w:val="28"/>
          <w:szCs w:val="28"/>
          <w:lang w:val="uk-UA"/>
        </w:rPr>
        <w:t>ДОДАТОК ДО СИЛАБУСУ ЗНУ – 2020-2021</w:t>
      </w:r>
    </w:p>
    <w:p w:rsidR="0051797A" w:rsidRPr="0051797A" w:rsidRDefault="0051797A" w:rsidP="0051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</w:rPr>
        <w:t xml:space="preserve"> 2020-2021 </w:t>
      </w: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н. р</w:t>
      </w:r>
      <w:r w:rsidRPr="0051797A">
        <w:rPr>
          <w:rFonts w:ascii="Cambria" w:eastAsia="MS Mincho" w:hAnsi="Cambria" w:cs="Cambria"/>
          <w:bCs/>
          <w:i/>
          <w:iCs/>
          <w:sz w:val="20"/>
          <w:szCs w:val="20"/>
          <w:lang w:val="uk-UA"/>
        </w:rPr>
        <w:t xml:space="preserve">. </w:t>
      </w:r>
      <w:hyperlink r:id="rId9" w:history="1">
        <w:r w:rsidRPr="0051797A">
          <w:rPr>
            <w:rFonts w:ascii="Times New Roman" w:eastAsia="MS Mincho" w:hAnsi="Times New Roman" w:cs="Cambria"/>
            <w:bCs/>
            <w:i/>
            <w:iCs/>
            <w:color w:val="0000FF"/>
            <w:sz w:val="20"/>
            <w:szCs w:val="20"/>
            <w:u w:val="single"/>
            <w:lang w:val="uk-UA"/>
          </w:rPr>
          <w:t>http://sites.znu.edu.ua/navchalnyj_viddil/1635.ukr.html</w:t>
        </w:r>
      </w:hyperlink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АКАДЕМІЧНА ДОБРОЧЕСНІСТЬ.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51797A">
        <w:rPr>
          <w:rFonts w:ascii="Cambria" w:eastAsia="MS Mincho" w:hAnsi="Cambria" w:cs="Cambria"/>
          <w:b/>
          <w:bCs/>
          <w:sz w:val="20"/>
          <w:szCs w:val="20"/>
          <w:lang w:val="uk-UA"/>
        </w:rPr>
        <w:t>: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 </w:t>
      </w:r>
      <w:hyperlink r:id="rId10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https://tinyurl.com/ya6yk4ad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.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1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https://tinyurl.com/y6wzzlu3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>.</w:t>
      </w:r>
    </w:p>
    <w:p w:rsidR="0051797A" w:rsidRPr="0051797A" w:rsidRDefault="0051797A" w:rsidP="0051797A">
      <w:pPr>
        <w:spacing w:after="0" w:line="240" w:lineRule="auto"/>
        <w:rPr>
          <w:rFonts w:ascii="Cambria" w:eastAsia="MS Mincho" w:hAnsi="Cambria" w:cs="Cambria"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ОСВІТНІЙ ПРОЦЕС ТА ЗАБЕЗПЕЧЕННЯ ЯКОСТІ ОСВІТИ.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2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https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uk-UA"/>
          </w:rPr>
          <w:t>://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tinyurl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uk-UA"/>
          </w:rPr>
          <w:t>.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com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uk-UA"/>
          </w:rPr>
          <w:t>/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y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uk-UA"/>
          </w:rPr>
          <w:t>9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tve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uk-UA"/>
          </w:rPr>
          <w:t>4</w:t>
        </w:r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shd w:val="clear" w:color="auto" w:fill="FFFFFF"/>
            <w:lang w:val="en-US"/>
          </w:rPr>
          <w:t>lk</w:t>
        </w:r>
      </w:hyperlink>
      <w:r w:rsidRPr="0051797A">
        <w:rPr>
          <w:rFonts w:ascii="Cambria" w:eastAsia="MS Mincho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i/>
          <w:iCs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ПОВТОРНЕ ВИВЧЕННЯ ДИСЦИПЛІН, ВІДРАХУВАННЯ.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lastRenderedPageBreak/>
        <w:t xml:space="preserve">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3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https://tinyurl.com/y9pkmmp5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4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https://tinyurl.com/ycds57la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>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НЕФОРМАЛЬНА ОСВІТА.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5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https://tinyurl.com/y8gbt4xs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>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ВИРІШЕННЯ КОНФЛІКТІВ.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6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https://tinyurl.com/ycyfws9v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стипендій у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7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https://tinyurl.com/yd6bq6p9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; </w:t>
      </w:r>
      <w:r w:rsidRPr="0051797A">
        <w:rPr>
          <w:rFonts w:ascii="Cambria" w:eastAsia="MS Mincho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 ЗНУ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18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https://tinyurl.com/y9r5dpwh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. 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ЗАПОБІГАННЯ КОРУПЦІЇ.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Уповноважена особа </w:t>
      </w:r>
      <w:r w:rsidRPr="0051797A">
        <w:rPr>
          <w:rFonts w:ascii="Cambria" w:eastAsia="MS Mincho" w:hAnsi="Cambria" w:cs="Cambria"/>
          <w:color w:val="4D5156"/>
          <w:sz w:val="20"/>
          <w:szCs w:val="20"/>
          <w:shd w:val="clear" w:color="auto" w:fill="FFFFFF"/>
        </w:rPr>
        <w:t>з питань запобігання та виявлення корупції</w:t>
      </w:r>
      <w:r w:rsidRPr="0051797A">
        <w:rPr>
          <w:rFonts w:ascii="Cambria" w:eastAsia="MS Mincho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51797A">
        <w:rPr>
          <w:rFonts w:ascii="Cambria" w:eastAsia="MS Mincho" w:hAnsi="Cambria" w:cs="Cambria"/>
          <w:color w:val="333333"/>
          <w:sz w:val="20"/>
          <w:szCs w:val="20"/>
          <w:shd w:val="clear" w:color="auto" w:fill="FFFFFF"/>
        </w:rPr>
        <w:t>(Воронков В. В., 1 корп., 29 каб., тел. +38 (061) 289-14-18).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ПСИХОЛОГІЧНА ДОПОМОГА.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>Телефон довіри практичного психолога (061)228-15-84 (щоденно з 9 до 21).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 xml:space="preserve">РІВНІ МОЖЛИВОСТІ ТА ІНКЛЮЗИВНЕ ОСВІТНЄ СЕРЕДОВИЩЕ. 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9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https://tinyurl.com/ydhcsagx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. 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РЕСУРСИ ДЛЯ НАВЧАННЯ. Наукова бібліотека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 xml:space="preserve">: </w:t>
      </w:r>
      <w:hyperlink r:id="rId20" w:history="1">
        <w:r w:rsidRPr="0051797A">
          <w:rPr>
            <w:rFonts w:ascii="Cambria" w:eastAsia="MS Mincho" w:hAnsi="Cambria" w:cs="Cambria"/>
            <w:color w:val="0000FF"/>
            <w:sz w:val="20"/>
            <w:szCs w:val="20"/>
            <w:u w:val="single"/>
            <w:lang w:val="uk-UA"/>
          </w:rPr>
          <w:t>http://library.znu.edu.ua</w:t>
        </w:r>
      </w:hyperlink>
      <w:r w:rsidRPr="0051797A">
        <w:rPr>
          <w:rFonts w:ascii="Cambria" w:eastAsia="MS Mincho" w:hAnsi="Cambria" w:cs="Cambria"/>
          <w:sz w:val="20"/>
          <w:szCs w:val="20"/>
          <w:lang w:val="uk-UA"/>
        </w:rPr>
        <w:t>. Графік роботи абонементів: понеділок – п`ятниця з 08.00 до 17.00; субота з 09.00 до 15.00.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14"/>
          <w:szCs w:val="14"/>
          <w:lang w:val="uk-UA"/>
        </w:rPr>
      </w:pPr>
      <w:r w:rsidRPr="0051797A">
        <w:rPr>
          <w:rFonts w:ascii="Cambria" w:eastAsia="MS Mincho" w:hAnsi="Cambria" w:cs="Cambria"/>
          <w:sz w:val="14"/>
          <w:szCs w:val="14"/>
          <w:lang w:val="uk-UA"/>
        </w:rPr>
        <w:t xml:space="preserve"> 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sz w:val="20"/>
          <w:szCs w:val="20"/>
          <w:lang w:val="uk-UA"/>
        </w:rPr>
        <w:t>Якщо забули пароль/логін, направте листа з темою «Забув пароль/логін» за адресами: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sz w:val="20"/>
          <w:szCs w:val="20"/>
          <w:lang w:val="uk-UA"/>
        </w:rPr>
        <w:t>·   для студентів ЗНУ - moodle.znu@gmail.com, Савченко Тетяна Володимирівна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sz w:val="20"/>
          <w:szCs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sz w:val="20"/>
          <w:szCs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https://moodle.znu.edu.ua/mod/page/view.php?id=133015.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14"/>
          <w:szCs w:val="14"/>
          <w:lang w:val="uk-UA"/>
        </w:rPr>
      </w:pP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>: http://sites.znu.edu.ua/child-advance/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sz w:val="20"/>
          <w:szCs w:val="20"/>
          <w:lang w:val="uk-UA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>: https://www.znu.edu.ua/ukr/edu/ocznu/nim</w:t>
      </w:r>
    </w:p>
    <w:p w:rsidR="0051797A" w:rsidRPr="0051797A" w:rsidRDefault="0051797A" w:rsidP="0051797A">
      <w:pPr>
        <w:spacing w:after="0" w:line="240" w:lineRule="auto"/>
        <w:jc w:val="both"/>
        <w:rPr>
          <w:rFonts w:ascii="Cambria" w:eastAsia="MS Mincho" w:hAnsi="Cambria" w:cs="Cambria"/>
          <w:i/>
          <w:iCs/>
          <w:sz w:val="24"/>
          <w:szCs w:val="24"/>
        </w:rPr>
      </w:pPr>
      <w:r w:rsidRPr="0051797A">
        <w:rPr>
          <w:rFonts w:ascii="Cambria" w:eastAsia="MS Mincho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51797A">
        <w:rPr>
          <w:rFonts w:ascii="Cambria" w:eastAsia="MS Mincho" w:hAnsi="Cambria" w:cs="Cambria"/>
          <w:sz w:val="20"/>
          <w:szCs w:val="20"/>
          <w:lang w:val="uk-UA"/>
        </w:rPr>
        <w:t>: http://sites.znu.edu.ua/confucius.</w:t>
      </w: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1797A" w:rsidRPr="0051797A" w:rsidRDefault="0051797A" w:rsidP="005179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1797A" w:rsidRPr="0051797A" w:rsidRDefault="0051797A" w:rsidP="0051797A"/>
    <w:p w:rsidR="000B282B" w:rsidRDefault="000B282B">
      <w:bookmarkStart w:id="0" w:name="_GoBack"/>
      <w:bookmarkEnd w:id="0"/>
    </w:p>
    <w:sectPr w:rsidR="000B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0E" w:rsidRDefault="00F5520E" w:rsidP="0051797A">
      <w:pPr>
        <w:spacing w:after="0" w:line="240" w:lineRule="auto"/>
      </w:pPr>
      <w:r>
        <w:separator/>
      </w:r>
    </w:p>
  </w:endnote>
  <w:endnote w:type="continuationSeparator" w:id="0">
    <w:p w:rsidR="00F5520E" w:rsidRDefault="00F5520E" w:rsidP="0051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0E" w:rsidRDefault="00F5520E" w:rsidP="0051797A">
      <w:pPr>
        <w:spacing w:after="0" w:line="240" w:lineRule="auto"/>
      </w:pPr>
      <w:r>
        <w:separator/>
      </w:r>
    </w:p>
  </w:footnote>
  <w:footnote w:type="continuationSeparator" w:id="0">
    <w:p w:rsidR="00F5520E" w:rsidRDefault="00F5520E" w:rsidP="0051797A">
      <w:pPr>
        <w:spacing w:after="0" w:line="240" w:lineRule="auto"/>
      </w:pPr>
      <w:r>
        <w:continuationSeparator/>
      </w:r>
    </w:p>
  </w:footnote>
  <w:footnote w:id="1">
    <w:p w:rsidR="0051797A" w:rsidRDefault="0051797A" w:rsidP="0051797A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B9"/>
    <w:multiLevelType w:val="hybridMultilevel"/>
    <w:tmpl w:val="5E72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35E9"/>
    <w:multiLevelType w:val="hybridMultilevel"/>
    <w:tmpl w:val="F16EB996"/>
    <w:lvl w:ilvl="0" w:tplc="5CC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7A"/>
    <w:rsid w:val="000B282B"/>
    <w:rsid w:val="0051797A"/>
    <w:rsid w:val="00F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55A0-1782-4FF2-94C5-E288ABF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1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51797A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buv.gov.ua" TargetMode="Externa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cyfws9v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6wzzlu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8gbt4xs" TargetMode="Externa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znu.edu.ua/navchalnyj_viddil/1635.ukr.html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2734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2020-09-20T11:20:00Z</dcterms:created>
  <dcterms:modified xsi:type="dcterms:W3CDTF">2020-09-20T11:21:00Z</dcterms:modified>
</cp:coreProperties>
</file>