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5F055" w14:textId="74F78E54" w:rsidR="00004948" w:rsidRPr="001121CC" w:rsidRDefault="00004948" w:rsidP="00004948">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Тема 4 </w:t>
      </w:r>
      <w:r w:rsidRPr="001121CC">
        <w:rPr>
          <w:rFonts w:ascii="Times New Roman" w:hAnsi="Times New Roman"/>
          <w:b/>
          <w:sz w:val="28"/>
          <w:szCs w:val="28"/>
        </w:rPr>
        <w:t xml:space="preserve">АНАЛІЗ В НЕБАНКІВСЬКИХ </w:t>
      </w:r>
    </w:p>
    <w:p w14:paraId="51E1CEBC" w14:textId="77777777" w:rsidR="00004948" w:rsidRDefault="00004948" w:rsidP="00004948">
      <w:pPr>
        <w:spacing w:after="0" w:line="240" w:lineRule="auto"/>
        <w:ind w:firstLine="709"/>
        <w:jc w:val="center"/>
        <w:rPr>
          <w:rFonts w:ascii="Times New Roman" w:hAnsi="Times New Roman"/>
          <w:b/>
          <w:sz w:val="28"/>
          <w:szCs w:val="28"/>
        </w:rPr>
      </w:pPr>
      <w:r w:rsidRPr="001121CC">
        <w:rPr>
          <w:rFonts w:ascii="Times New Roman" w:hAnsi="Times New Roman"/>
          <w:b/>
          <w:sz w:val="28"/>
          <w:szCs w:val="28"/>
        </w:rPr>
        <w:t>ФІНАНСОВИХ УСТАНОВАХ</w:t>
      </w:r>
    </w:p>
    <w:p w14:paraId="5EC4E4D3" w14:textId="77777777" w:rsidR="00004948" w:rsidRDefault="00004948" w:rsidP="00004948">
      <w:pPr>
        <w:spacing w:after="0" w:line="240" w:lineRule="auto"/>
        <w:ind w:firstLine="709"/>
        <w:jc w:val="center"/>
        <w:rPr>
          <w:rFonts w:ascii="Times New Roman" w:hAnsi="Times New Roman"/>
          <w:sz w:val="28"/>
          <w:szCs w:val="28"/>
        </w:rPr>
      </w:pPr>
    </w:p>
    <w:p w14:paraId="428B6D63" w14:textId="77777777" w:rsidR="00004948" w:rsidRDefault="00004948" w:rsidP="00004948">
      <w:pPr>
        <w:spacing w:after="0" w:line="240" w:lineRule="auto"/>
        <w:ind w:firstLine="709"/>
        <w:jc w:val="both"/>
        <w:rPr>
          <w:rFonts w:ascii="Times New Roman" w:hAnsi="Times New Roman"/>
          <w:sz w:val="28"/>
          <w:szCs w:val="28"/>
        </w:rPr>
      </w:pPr>
      <w:r>
        <w:rPr>
          <w:rFonts w:ascii="Times New Roman" w:hAnsi="Times New Roman"/>
          <w:b/>
          <w:i/>
          <w:color w:val="000000"/>
          <w:sz w:val="28"/>
          <w:szCs w:val="28"/>
        </w:rPr>
        <w:t>Мета вивчення теми</w:t>
      </w:r>
      <w:r>
        <w:rPr>
          <w:rFonts w:ascii="Times New Roman" w:hAnsi="Times New Roman"/>
          <w:sz w:val="28"/>
          <w:szCs w:val="28"/>
        </w:rPr>
        <w:t>: зрозуміти особливості аналізу в різного типу небанківських установах, навчитися проводити обчислення фінансових показників та розуміти їх економічну сутність.</w:t>
      </w:r>
    </w:p>
    <w:p w14:paraId="79F036AB" w14:textId="77777777" w:rsidR="00004948" w:rsidRDefault="00004948" w:rsidP="00004948">
      <w:pPr>
        <w:spacing w:after="0" w:line="240" w:lineRule="auto"/>
        <w:ind w:firstLine="709"/>
        <w:jc w:val="both"/>
        <w:rPr>
          <w:rFonts w:ascii="Times New Roman" w:hAnsi="Times New Roman"/>
          <w:color w:val="000000"/>
          <w:sz w:val="28"/>
          <w:szCs w:val="28"/>
        </w:rPr>
      </w:pPr>
    </w:p>
    <w:p w14:paraId="0F6E37CF" w14:textId="77777777" w:rsidR="00004948" w:rsidRDefault="00004948" w:rsidP="00004948">
      <w:pPr>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rPr>
        <w:t>План</w:t>
      </w:r>
      <w:r>
        <w:rPr>
          <w:rFonts w:ascii="Times New Roman" w:hAnsi="Times New Roman"/>
          <w:color w:val="000000"/>
          <w:sz w:val="28"/>
          <w:szCs w:val="28"/>
        </w:rPr>
        <w:t xml:space="preserve"> </w:t>
      </w:r>
    </w:p>
    <w:p w14:paraId="125FB314" w14:textId="77777777" w:rsidR="00004948" w:rsidRDefault="00004948" w:rsidP="00004948">
      <w:pPr>
        <w:pStyle w:val="a6"/>
        <w:numPr>
          <w:ilvl w:val="0"/>
          <w:numId w:val="2"/>
        </w:numPr>
        <w:spacing w:after="0" w:line="240" w:lineRule="auto"/>
        <w:ind w:left="993" w:hanging="284"/>
        <w:jc w:val="both"/>
        <w:rPr>
          <w:rFonts w:ascii="Times New Roman" w:hAnsi="Times New Roman"/>
          <w:bCs/>
          <w:sz w:val="28"/>
          <w:szCs w:val="28"/>
        </w:rPr>
      </w:pPr>
      <w:bookmarkStart w:id="0" w:name="_Hlk527016177"/>
      <w:r>
        <w:rPr>
          <w:rFonts w:ascii="Times New Roman" w:hAnsi="Times New Roman"/>
          <w:bCs/>
          <w:sz w:val="28"/>
          <w:szCs w:val="28"/>
        </w:rPr>
        <w:t>Особливості фінансового аналізу для страхової організації</w:t>
      </w:r>
      <w:bookmarkEnd w:id="0"/>
    </w:p>
    <w:p w14:paraId="7C65C68D" w14:textId="77777777" w:rsidR="00004948" w:rsidRDefault="00004948" w:rsidP="00004948">
      <w:pPr>
        <w:pStyle w:val="a6"/>
        <w:numPr>
          <w:ilvl w:val="0"/>
          <w:numId w:val="2"/>
        </w:numPr>
        <w:spacing w:after="0" w:line="240" w:lineRule="auto"/>
        <w:ind w:left="993" w:hanging="284"/>
        <w:jc w:val="both"/>
        <w:rPr>
          <w:rFonts w:ascii="Times New Roman" w:hAnsi="Times New Roman"/>
          <w:bCs/>
          <w:sz w:val="28"/>
          <w:szCs w:val="28"/>
        </w:rPr>
      </w:pPr>
      <w:r>
        <w:rPr>
          <w:rFonts w:ascii="Times New Roman" w:hAnsi="Times New Roman"/>
          <w:bCs/>
          <w:sz w:val="28"/>
          <w:szCs w:val="28"/>
        </w:rPr>
        <w:t>Теоретичні основи аналізу активів і пасивів балансу і коефіцієнтного аналізу</w:t>
      </w:r>
    </w:p>
    <w:p w14:paraId="677F0994" w14:textId="77777777" w:rsidR="00004948" w:rsidRDefault="00004948" w:rsidP="00004948">
      <w:pPr>
        <w:pStyle w:val="a6"/>
        <w:numPr>
          <w:ilvl w:val="0"/>
          <w:numId w:val="2"/>
        </w:numPr>
        <w:spacing w:after="0" w:line="240" w:lineRule="auto"/>
        <w:ind w:left="993" w:hanging="284"/>
        <w:jc w:val="both"/>
        <w:rPr>
          <w:rFonts w:ascii="Times New Roman" w:hAnsi="Times New Roman"/>
          <w:sz w:val="28"/>
          <w:szCs w:val="28"/>
        </w:rPr>
      </w:pPr>
      <w:r>
        <w:rPr>
          <w:rFonts w:ascii="Times New Roman" w:hAnsi="Times New Roman"/>
          <w:bCs/>
          <w:sz w:val="28"/>
          <w:szCs w:val="28"/>
        </w:rPr>
        <w:t>Теоретичні основи оцінки вартості страхової організації</w:t>
      </w:r>
    </w:p>
    <w:p w14:paraId="0F9F646F" w14:textId="77777777" w:rsidR="00004948" w:rsidRDefault="00004948" w:rsidP="00004948">
      <w:pPr>
        <w:pStyle w:val="a6"/>
        <w:shd w:val="clear" w:color="auto" w:fill="FFFFFF"/>
        <w:tabs>
          <w:tab w:val="left" w:pos="284"/>
        </w:tabs>
        <w:spacing w:after="0" w:line="240" w:lineRule="auto"/>
        <w:ind w:left="0"/>
        <w:jc w:val="both"/>
        <w:rPr>
          <w:rFonts w:ascii="Times New Roman" w:hAnsi="Times New Roman"/>
          <w:bCs/>
          <w:iCs/>
          <w:sz w:val="28"/>
          <w:szCs w:val="28"/>
        </w:rPr>
      </w:pPr>
    </w:p>
    <w:p w14:paraId="70DCBEDA" w14:textId="77777777" w:rsidR="00004948" w:rsidRDefault="00004948" w:rsidP="00004948">
      <w:pPr>
        <w:spacing w:after="0" w:line="240" w:lineRule="auto"/>
        <w:ind w:firstLine="709"/>
        <w:jc w:val="both"/>
        <w:rPr>
          <w:rFonts w:ascii="Times New Roman" w:hAnsi="Times New Roman"/>
          <w:color w:val="000000"/>
          <w:sz w:val="28"/>
          <w:szCs w:val="28"/>
        </w:rPr>
      </w:pPr>
      <w:r>
        <w:rPr>
          <w:rFonts w:ascii="Times New Roman" w:hAnsi="Times New Roman"/>
          <w:b/>
          <w:i/>
          <w:color w:val="000000"/>
          <w:sz w:val="28"/>
          <w:szCs w:val="28"/>
        </w:rPr>
        <w:t>Ключові слова</w:t>
      </w:r>
      <w:r>
        <w:rPr>
          <w:rFonts w:ascii="Times New Roman" w:hAnsi="Times New Roman"/>
          <w:color w:val="000000"/>
          <w:sz w:val="28"/>
          <w:szCs w:val="28"/>
        </w:rPr>
        <w:t xml:space="preserve">: фінансові послуги, небанківська фінансова установа, страхова компанія, типи фінансової стійкості, </w:t>
      </w:r>
      <w:r>
        <w:rPr>
          <w:rFonts w:hAnsi="Times New Roman"/>
          <w:sz w:val="28"/>
          <w:szCs w:val="28"/>
        </w:rPr>
        <w:t>оцінка</w:t>
      </w:r>
      <w:r>
        <w:rPr>
          <w:rFonts w:hAnsi="Times New Roman"/>
          <w:sz w:val="28"/>
          <w:szCs w:val="28"/>
        </w:rPr>
        <w:t xml:space="preserve"> </w:t>
      </w:r>
      <w:r>
        <w:rPr>
          <w:rFonts w:hAnsi="Times New Roman"/>
          <w:sz w:val="28"/>
          <w:szCs w:val="28"/>
        </w:rPr>
        <w:t>страхового</w:t>
      </w:r>
      <w:r>
        <w:rPr>
          <w:rFonts w:hAnsi="Times New Roman"/>
          <w:sz w:val="28"/>
          <w:szCs w:val="28"/>
        </w:rPr>
        <w:t xml:space="preserve"> </w:t>
      </w:r>
      <w:r>
        <w:rPr>
          <w:rFonts w:hAnsi="Times New Roman"/>
          <w:sz w:val="28"/>
          <w:szCs w:val="28"/>
        </w:rPr>
        <w:t>портфеля</w:t>
      </w:r>
      <w:r>
        <w:rPr>
          <w:rFonts w:hAnsi="Times New Roman"/>
          <w:sz w:val="28"/>
          <w:szCs w:val="28"/>
        </w:rPr>
        <w:t>.</w:t>
      </w:r>
    </w:p>
    <w:p w14:paraId="5F92AACD" w14:textId="77777777" w:rsidR="00004948" w:rsidRDefault="00004948" w:rsidP="00004948">
      <w:pPr>
        <w:spacing w:after="0" w:line="240" w:lineRule="auto"/>
        <w:ind w:firstLine="709"/>
        <w:rPr>
          <w:rFonts w:ascii="Times New Roman" w:hAnsi="Times New Roman"/>
          <w:sz w:val="28"/>
          <w:szCs w:val="28"/>
        </w:rPr>
      </w:pPr>
    </w:p>
    <w:p w14:paraId="18AF732F" w14:textId="77777777" w:rsidR="00004948" w:rsidRDefault="00004948" w:rsidP="00004948">
      <w:pPr>
        <w:spacing w:after="0" w:line="240" w:lineRule="auto"/>
        <w:ind w:firstLine="709"/>
        <w:jc w:val="center"/>
        <w:rPr>
          <w:rFonts w:ascii="Times New Roman" w:hAnsi="Times New Roman"/>
          <w:bCs/>
          <w:sz w:val="28"/>
          <w:szCs w:val="28"/>
        </w:rPr>
      </w:pPr>
    </w:p>
    <w:p w14:paraId="1DE29D74" w14:textId="77777777" w:rsidR="00004948" w:rsidRDefault="00004948" w:rsidP="00004948">
      <w:pPr>
        <w:spacing w:after="0" w:line="240" w:lineRule="auto"/>
        <w:ind w:firstLine="709"/>
        <w:jc w:val="center"/>
        <w:rPr>
          <w:rFonts w:ascii="Times New Roman" w:hAnsi="Times New Roman"/>
          <w:b/>
          <w:sz w:val="28"/>
          <w:szCs w:val="28"/>
        </w:rPr>
      </w:pPr>
      <w:r>
        <w:rPr>
          <w:rFonts w:ascii="Times New Roman" w:hAnsi="Times New Roman"/>
          <w:b/>
          <w:bCs/>
          <w:sz w:val="28"/>
          <w:szCs w:val="28"/>
        </w:rPr>
        <w:t>4.1 Особливості фінансового аналізу для страхової організації</w:t>
      </w:r>
    </w:p>
    <w:p w14:paraId="19BF3AA4" w14:textId="77777777" w:rsidR="00004948" w:rsidRDefault="00004948" w:rsidP="00004948">
      <w:pPr>
        <w:spacing w:after="0" w:line="240" w:lineRule="auto"/>
        <w:ind w:firstLine="709"/>
        <w:jc w:val="both"/>
        <w:rPr>
          <w:rFonts w:ascii="Times New Roman" w:hAnsi="Times New Roman"/>
          <w:sz w:val="28"/>
          <w:szCs w:val="28"/>
        </w:rPr>
      </w:pPr>
      <w:bookmarkStart w:id="1" w:name="n3"/>
      <w:bookmarkEnd w:id="1"/>
      <w:r>
        <w:rPr>
          <w:rFonts w:ascii="Times New Roman" w:hAnsi="Times New Roman"/>
          <w:b/>
          <w:sz w:val="36"/>
          <w:szCs w:val="36"/>
        </w:rPr>
        <w:t xml:space="preserve">В </w:t>
      </w:r>
      <w:r>
        <w:rPr>
          <w:rFonts w:ascii="Times New Roman" w:hAnsi="Times New Roman"/>
          <w:sz w:val="28"/>
          <w:szCs w:val="28"/>
        </w:rPr>
        <w:t xml:space="preserve">даній темі основна увага приділяється вивченню проведення фінансового аналізу в різного виду небанківських установах. Відповідно до Закону України  «Про фінансові послуги та державне регулювання ринків фінансових послуг» </w:t>
      </w:r>
      <w:r>
        <w:rPr>
          <w:rFonts w:ascii="Times New Roman" w:hAnsi="Times New Roman"/>
          <w:b/>
          <w:sz w:val="28"/>
          <w:szCs w:val="28"/>
        </w:rPr>
        <w:t xml:space="preserve">фінансова установа </w:t>
      </w:r>
      <w:r>
        <w:rPr>
          <w:rFonts w:ascii="Times New Roman" w:hAnsi="Times New Roman"/>
          <w:sz w:val="28"/>
          <w:szCs w:val="28"/>
        </w:rPr>
        <w:t xml:space="preserve">– юридична особа, яка відповідно до закону надає одну чи декілька фінансових послуг, а також інші послуги (операції), пов'язані з наданням фінансових послуг, у випадках, прямо визначених законом, та внесена до відповідного реєстру в установленому законом порядку. </w:t>
      </w:r>
      <w:r>
        <w:rPr>
          <w:rFonts w:ascii="Times New Roman" w:hAnsi="Times New Roman"/>
          <w:bCs/>
          <w:sz w:val="28"/>
          <w:szCs w:val="28"/>
        </w:rPr>
        <w:t>До</w:t>
      </w:r>
      <w:r>
        <w:rPr>
          <w:rFonts w:ascii="Times New Roman" w:hAnsi="Times New Roman"/>
          <w:b/>
          <w:bCs/>
          <w:sz w:val="28"/>
          <w:szCs w:val="28"/>
        </w:rPr>
        <w:t xml:space="preserve"> небанківських фінансових установ </w:t>
      </w:r>
      <w:r>
        <w:rPr>
          <w:rFonts w:ascii="Times New Roman" w:hAnsi="Times New Roman"/>
          <w:bCs/>
          <w:sz w:val="28"/>
          <w:szCs w:val="28"/>
        </w:rPr>
        <w:t>належать:</w:t>
      </w:r>
    </w:p>
    <w:p w14:paraId="583974B4"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sz w:val="28"/>
          <w:szCs w:val="28"/>
        </w:rPr>
        <w:t>кредитні спілки,</w:t>
      </w:r>
    </w:p>
    <w:p w14:paraId="2F3EF00A"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sz w:val="28"/>
          <w:szCs w:val="28"/>
        </w:rPr>
        <w:t>ломбарди,</w:t>
      </w:r>
    </w:p>
    <w:p w14:paraId="1C8B7086"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sz w:val="28"/>
          <w:szCs w:val="28"/>
        </w:rPr>
        <w:t>лізингові компанії,</w:t>
      </w:r>
    </w:p>
    <w:p w14:paraId="2C6883B2"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sz w:val="28"/>
          <w:szCs w:val="28"/>
        </w:rPr>
        <w:t>довірчі товариства,</w:t>
      </w:r>
    </w:p>
    <w:p w14:paraId="4091144A"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sz w:val="28"/>
          <w:szCs w:val="28"/>
        </w:rPr>
        <w:t>страхові компанії,</w:t>
      </w:r>
    </w:p>
    <w:p w14:paraId="18C41F72"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bCs/>
          <w:sz w:val="28"/>
          <w:szCs w:val="28"/>
        </w:rPr>
        <w:t>установи</w:t>
      </w:r>
      <w:r>
        <w:rPr>
          <w:rFonts w:ascii="Times New Roman" w:hAnsi="Times New Roman"/>
          <w:sz w:val="28"/>
          <w:szCs w:val="28"/>
        </w:rPr>
        <w:t xml:space="preserve"> накопичувального пенсійного забезпечення,</w:t>
      </w:r>
    </w:p>
    <w:p w14:paraId="36F7139C" w14:textId="77777777" w:rsidR="00004948" w:rsidRDefault="00004948" w:rsidP="00004948">
      <w:pPr>
        <w:numPr>
          <w:ilvl w:val="0"/>
          <w:numId w:val="3"/>
        </w:numPr>
        <w:tabs>
          <w:tab w:val="left" w:pos="1276"/>
        </w:tabs>
        <w:spacing w:after="0" w:line="240" w:lineRule="auto"/>
        <w:ind w:firstLine="131"/>
        <w:jc w:val="both"/>
        <w:rPr>
          <w:rFonts w:ascii="Times New Roman" w:hAnsi="Times New Roman"/>
          <w:sz w:val="28"/>
          <w:szCs w:val="28"/>
        </w:rPr>
      </w:pPr>
      <w:r>
        <w:rPr>
          <w:rFonts w:ascii="Times New Roman" w:hAnsi="Times New Roman"/>
          <w:sz w:val="28"/>
          <w:szCs w:val="28"/>
        </w:rPr>
        <w:t>інвестиційні фонди і компанії,</w:t>
      </w:r>
    </w:p>
    <w:p w14:paraId="3FB80E2E" w14:textId="77777777" w:rsidR="00004948" w:rsidRDefault="00004948" w:rsidP="00004948">
      <w:pPr>
        <w:numPr>
          <w:ilvl w:val="0"/>
          <w:numId w:val="3"/>
        </w:numPr>
        <w:tabs>
          <w:tab w:val="clear" w:pos="720"/>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інші юридичні особи, виключним видом діяльності яких є надання </w:t>
      </w:r>
      <w:r>
        <w:rPr>
          <w:rFonts w:ascii="Times New Roman" w:hAnsi="Times New Roman"/>
          <w:bCs/>
          <w:sz w:val="28"/>
          <w:szCs w:val="28"/>
        </w:rPr>
        <w:t>фінансових</w:t>
      </w:r>
      <w:r>
        <w:rPr>
          <w:rFonts w:ascii="Times New Roman" w:hAnsi="Times New Roman"/>
          <w:sz w:val="28"/>
          <w:szCs w:val="28"/>
        </w:rPr>
        <w:t xml:space="preserve"> послуг </w:t>
      </w:r>
      <w:r>
        <w:rPr>
          <w:rFonts w:ascii="Times New Roman" w:hAnsi="Times New Roman"/>
          <w:sz w:val="28"/>
          <w:szCs w:val="28"/>
          <w:lang w:val="ru-RU"/>
        </w:rPr>
        <w:t>[1]</w:t>
      </w:r>
      <w:r>
        <w:rPr>
          <w:rFonts w:ascii="Times New Roman" w:hAnsi="Times New Roman"/>
          <w:sz w:val="28"/>
          <w:szCs w:val="28"/>
        </w:rPr>
        <w:t>.</w:t>
      </w:r>
    </w:p>
    <w:p w14:paraId="1304D1A1" w14:textId="77777777" w:rsidR="00004948" w:rsidRDefault="00004948" w:rsidP="00004948">
      <w:pPr>
        <w:spacing w:after="0" w:line="240" w:lineRule="auto"/>
        <w:ind w:firstLine="709"/>
        <w:jc w:val="both"/>
        <w:outlineLvl w:val="2"/>
        <w:rPr>
          <w:rFonts w:ascii="Times New Roman" w:hAnsi="Times New Roman"/>
          <w:sz w:val="28"/>
          <w:szCs w:val="28"/>
        </w:rPr>
      </w:pPr>
      <w:r>
        <w:rPr>
          <w:rFonts w:ascii="Times New Roman" w:hAnsi="Times New Roman"/>
          <w:bCs/>
          <w:sz w:val="28"/>
          <w:szCs w:val="28"/>
        </w:rPr>
        <w:t>Серед небанківських фінансових установ найбільшу питому вагу займають страхові компанії, що зумовлює доцільність, в першу чергу, розглянути проведення аналізу фінансового стану страховика. Слід підкреслити, що з</w:t>
      </w:r>
      <w:r>
        <w:rPr>
          <w:rFonts w:ascii="Times New Roman" w:hAnsi="Times New Roman"/>
          <w:sz w:val="28"/>
          <w:szCs w:val="28"/>
        </w:rPr>
        <w:t xml:space="preserve"> розвитком страхового ринку посилюється роль фінансового аналізу діяльності страхових компаній, визначення рівня їхньої надійності та платоспроможності, оцінки їх фінансових результатів.</w:t>
      </w:r>
    </w:p>
    <w:p w14:paraId="3AEADBF0"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Для правильного вибору страхової компанії необхідно знати такі чотири важливі моменти:</w:t>
      </w:r>
    </w:p>
    <w:p w14:paraId="5F0466D8"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1) умови страхування (правила та договір страхування);</w:t>
      </w:r>
    </w:p>
    <w:p w14:paraId="46EA5272"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lastRenderedPageBreak/>
        <w:t>2) розмір страхового тарифу;</w:t>
      </w:r>
    </w:p>
    <w:p w14:paraId="2669C16C"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3) порядок здійснення страхових виплат;</w:t>
      </w:r>
    </w:p>
    <w:p w14:paraId="422E1630"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4) реальний фінансовий стан страховика.</w:t>
      </w:r>
    </w:p>
    <w:p w14:paraId="7D1613FD"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 xml:space="preserve">Закон України «Про страхування» </w:t>
      </w:r>
      <w:r>
        <w:rPr>
          <w:rFonts w:hAnsi="Times New Roman"/>
          <w:sz w:val="28"/>
          <w:szCs w:val="28"/>
          <w:lang w:val="ru-RU"/>
        </w:rPr>
        <w:t>[2]</w:t>
      </w:r>
      <w:r>
        <w:rPr>
          <w:rFonts w:hAnsi="Times New Roman"/>
          <w:sz w:val="28"/>
          <w:szCs w:val="28"/>
        </w:rPr>
        <w:t xml:space="preserve"> встановив систему контролю за рівнем платоспроможності страховиків і порядком розрахунку резервів, посилив норми, що регулюють нагляд за страховою діяльністю, впорядкував види обов'язкового страхування та рекомендований перелік добровільних видів страхування. Разом із тим, для успішного функціонування в конкурентному середовищі, визначення перспектив свого розвитку, проведення ефективного планування та прогнозування мають бути враховані чинники, що впливають на роботу страховиків. Важливе місце у вирішенні цих завдань займає фінансовий аналіз, який спрямований на дослідження фінансової надійності страховика.</w:t>
      </w:r>
    </w:p>
    <w:p w14:paraId="5309C7F8"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Дослідження стійкості страхової компанії зводиться до аналізу звітності на предмет достатності власного капіталу страхової компанії, її платоспроможності та ліквідності балансу, тобто до оцінки фінансового стану страховика. Нині в економічній літературі трапляються різні терміни в оцінці фінансової діяльності та фінансового стану страховика, як-от: «фінансова надійність», «фінансова стійкість», «фінансова стабільність», «платоспроможність», «ліквідність», «фінансова спроможність» тощо, що дає можливість довільно їх трактувати.</w:t>
      </w:r>
    </w:p>
    <w:p w14:paraId="3949670F"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Більшість характеристик фінансового стану, що трапляються в науковій літературі, можуть розглядатися як окремі аспекти (показники) фінансової стійкості. Універсальним можна вважати підхід, за яким фінансова стійкість страховика характеризується такими ознаками фінансового стану:</w:t>
      </w:r>
    </w:p>
    <w:p w14:paraId="50038EDA"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1) високою платоспроможністю, тобто здатністю вчасно розраховуватися за своїми зобов'язаннями;</w:t>
      </w:r>
    </w:p>
    <w:p w14:paraId="338C2A52"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2) високою ліквідністю балансу, тобто достатнім рівнем покриття залучених пасивів активами;</w:t>
      </w:r>
    </w:p>
    <w:p w14:paraId="23405F90"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3) високою рентабельністю, тобто значною прибутковістю, яка забезпечує необхідний розвиток підприємства.</w:t>
      </w:r>
    </w:p>
    <w:p w14:paraId="779ECDA2"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Разом із тим, особливості страхового бізнесу потребують включення до системи показників фінансової стійкості, поряд із названими, низки специфічних показників, характерних лише для цієї сфери діяльності</w:t>
      </w:r>
      <w:r>
        <w:rPr>
          <w:rFonts w:hAnsi="Times New Roman"/>
          <w:sz w:val="28"/>
          <w:szCs w:val="28"/>
          <w:lang w:val="ru-RU"/>
        </w:rPr>
        <w:t xml:space="preserve"> [5]</w:t>
      </w:r>
      <w:r>
        <w:rPr>
          <w:rFonts w:hAnsi="Times New Roman"/>
          <w:sz w:val="28"/>
          <w:szCs w:val="28"/>
        </w:rPr>
        <w:t>.</w:t>
      </w:r>
    </w:p>
    <w:p w14:paraId="2243B424" w14:textId="77777777" w:rsidR="00004948" w:rsidRDefault="00004948" w:rsidP="00004948">
      <w:pPr>
        <w:pStyle w:val="a4"/>
        <w:spacing w:before="0" w:beforeAutospacing="0" w:after="0" w:afterAutospacing="0"/>
        <w:ind w:firstLine="709"/>
        <w:jc w:val="both"/>
        <w:rPr>
          <w:rFonts w:hAnsi="Times New Roman"/>
          <w:b/>
          <w:sz w:val="28"/>
          <w:szCs w:val="28"/>
        </w:rPr>
      </w:pPr>
    </w:p>
    <w:p w14:paraId="1A629F53" w14:textId="77777777" w:rsidR="00004948" w:rsidRDefault="00004948" w:rsidP="00004948">
      <w:pPr>
        <w:pStyle w:val="a6"/>
        <w:numPr>
          <w:ilvl w:val="1"/>
          <w:numId w:val="1"/>
        </w:numPr>
        <w:spacing w:after="0" w:line="240" w:lineRule="auto"/>
        <w:jc w:val="center"/>
        <w:rPr>
          <w:rFonts w:ascii="Times New Roman" w:hAnsi="Times New Roman"/>
          <w:b/>
          <w:bCs/>
          <w:sz w:val="28"/>
          <w:szCs w:val="28"/>
        </w:rPr>
      </w:pPr>
      <w:r>
        <w:rPr>
          <w:rFonts w:ascii="Times New Roman" w:hAnsi="Times New Roman"/>
          <w:b/>
          <w:bCs/>
          <w:sz w:val="28"/>
          <w:szCs w:val="28"/>
        </w:rPr>
        <w:t>Теоретичні основи аналізу активів і пасивів балансу і</w:t>
      </w:r>
    </w:p>
    <w:p w14:paraId="5486E940" w14:textId="77777777" w:rsidR="00004948" w:rsidRDefault="00004948" w:rsidP="00004948">
      <w:pPr>
        <w:pStyle w:val="a6"/>
        <w:spacing w:after="0" w:line="240" w:lineRule="auto"/>
        <w:ind w:left="780"/>
        <w:jc w:val="center"/>
        <w:rPr>
          <w:rFonts w:ascii="Times New Roman" w:hAnsi="Times New Roman"/>
          <w:b/>
          <w:bCs/>
          <w:sz w:val="28"/>
          <w:szCs w:val="28"/>
        </w:rPr>
      </w:pPr>
      <w:r>
        <w:rPr>
          <w:rFonts w:ascii="Times New Roman" w:hAnsi="Times New Roman"/>
          <w:b/>
          <w:bCs/>
          <w:sz w:val="28"/>
          <w:szCs w:val="28"/>
        </w:rPr>
        <w:t>коефіцієнтного аналізу</w:t>
      </w:r>
    </w:p>
    <w:p w14:paraId="56AF1BA2" w14:textId="77777777" w:rsidR="00004948" w:rsidRDefault="00004948" w:rsidP="00004948">
      <w:pPr>
        <w:pStyle w:val="a4"/>
        <w:spacing w:before="0" w:beforeAutospacing="0" w:after="0" w:afterAutospacing="0"/>
        <w:ind w:firstLine="709"/>
        <w:jc w:val="both"/>
        <w:rPr>
          <w:rFonts w:hAnsi="Times New Roman"/>
          <w:sz w:val="28"/>
          <w:szCs w:val="28"/>
        </w:rPr>
      </w:pPr>
    </w:p>
    <w:p w14:paraId="16C3F876"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У вітчизняній науці та практиці не існує єдиного підходу до системи показників фінансової стійкості саме страхових організацій. У більшості методик пропонується оцінювати фінансову стійкість страхових організацій на основі системи показників фінансової стійкості будь-якої організації з адаптацією їх до галузевих особливостей цієї сфери. Найбільш адаптованою методикою можна вважати методику, яка передбачає оцінку фінансової стійкості за двома напрямами:</w:t>
      </w:r>
    </w:p>
    <w:p w14:paraId="771F7BD7" w14:textId="77777777" w:rsidR="00004948" w:rsidRDefault="00004948" w:rsidP="00004948">
      <w:pPr>
        <w:pStyle w:val="a4"/>
        <w:numPr>
          <w:ilvl w:val="0"/>
          <w:numId w:val="4"/>
        </w:numPr>
        <w:spacing w:before="0" w:beforeAutospacing="0" w:after="0" w:afterAutospacing="0"/>
        <w:jc w:val="both"/>
        <w:rPr>
          <w:rFonts w:hAnsi="Times New Roman"/>
          <w:sz w:val="28"/>
          <w:szCs w:val="28"/>
        </w:rPr>
      </w:pPr>
      <w:r>
        <w:rPr>
          <w:rFonts w:hAnsi="Times New Roman"/>
          <w:sz w:val="28"/>
          <w:szCs w:val="28"/>
        </w:rPr>
        <w:lastRenderedPageBreak/>
        <w:t>Оцінка фінансової стійкості, виходячи з міри покриття запасів і витрат джерелами коштів:</w:t>
      </w:r>
    </w:p>
    <w:p w14:paraId="0DDED10F" w14:textId="77777777" w:rsidR="00004948" w:rsidRDefault="00004948" w:rsidP="00004948">
      <w:pPr>
        <w:pStyle w:val="a4"/>
        <w:spacing w:before="0" w:beforeAutospacing="0" w:after="0" w:afterAutospacing="0"/>
        <w:ind w:left="1069"/>
        <w:jc w:val="both"/>
        <w:rPr>
          <w:rFonts w:hAnsi="Times New Roman"/>
          <w:sz w:val="28"/>
          <w:szCs w:val="28"/>
        </w:rPr>
      </w:pPr>
    </w:p>
    <w:p w14:paraId="3806D9EE" w14:textId="77777777" w:rsidR="00004948" w:rsidRDefault="00004948" w:rsidP="00004948">
      <w:pPr>
        <w:pStyle w:val="a5"/>
        <w:jc w:val="right"/>
        <w:rPr>
          <w:rFonts w:ascii="Times New Roman" w:hAnsi="Times New Roman"/>
          <w:sz w:val="28"/>
          <w:szCs w:val="28"/>
        </w:rPr>
      </w:pPr>
      <w:r>
        <w:rPr>
          <w:rFonts w:ascii="Times New Roman" w:hAnsi="Times New Roman"/>
          <w:i/>
          <w:sz w:val="28"/>
          <w:szCs w:val="28"/>
        </w:rPr>
        <w:t>ЗЗ &lt; ( СС + ДЗ) - ОС</w:t>
      </w:r>
      <w:r>
        <w:rPr>
          <w:rFonts w:ascii="Times New Roman" w:hAnsi="Times New Roman"/>
          <w:sz w:val="28"/>
          <w:szCs w:val="28"/>
        </w:rPr>
        <w:t>,                                          (4.1)</w:t>
      </w:r>
    </w:p>
    <w:p w14:paraId="79E3631D" w14:textId="77777777" w:rsidR="00004948" w:rsidRDefault="00004948" w:rsidP="00004948">
      <w:pPr>
        <w:pStyle w:val="a4"/>
        <w:spacing w:before="0" w:beforeAutospacing="0" w:after="0" w:afterAutospacing="0"/>
        <w:ind w:firstLine="709"/>
        <w:jc w:val="both"/>
        <w:rPr>
          <w:rFonts w:hAnsi="Times New Roman"/>
          <w:sz w:val="28"/>
          <w:szCs w:val="28"/>
        </w:rPr>
      </w:pPr>
    </w:p>
    <w:p w14:paraId="235E3FB4"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 xml:space="preserve">де </w:t>
      </w:r>
      <w:r>
        <w:rPr>
          <w:rFonts w:hAnsi="Times New Roman"/>
          <w:i/>
          <w:iCs/>
          <w:sz w:val="28"/>
          <w:szCs w:val="28"/>
        </w:rPr>
        <w:t xml:space="preserve">ОС </w:t>
      </w:r>
      <w:r>
        <w:rPr>
          <w:rFonts w:hAnsi="Times New Roman"/>
          <w:sz w:val="28"/>
          <w:szCs w:val="28"/>
        </w:rPr>
        <w:t xml:space="preserve">– основні засоби і необігові активи, тис. грн; </w:t>
      </w:r>
      <w:r>
        <w:rPr>
          <w:rStyle w:val="a3"/>
          <w:rFonts w:hAnsi="Times New Roman"/>
          <w:i/>
          <w:iCs/>
          <w:sz w:val="28"/>
          <w:szCs w:val="28"/>
        </w:rPr>
        <w:t xml:space="preserve">ЗЗ </w:t>
      </w:r>
      <w:r>
        <w:rPr>
          <w:rFonts w:hAnsi="Times New Roman"/>
          <w:sz w:val="28"/>
          <w:szCs w:val="28"/>
        </w:rPr>
        <w:t xml:space="preserve">– запаси; </w:t>
      </w:r>
      <w:r>
        <w:rPr>
          <w:rFonts w:hAnsi="Times New Roman"/>
          <w:i/>
          <w:iCs/>
          <w:sz w:val="28"/>
          <w:szCs w:val="28"/>
        </w:rPr>
        <w:t xml:space="preserve">СС  –  </w:t>
      </w:r>
      <w:r>
        <w:rPr>
          <w:rFonts w:hAnsi="Times New Roman"/>
          <w:sz w:val="28"/>
          <w:szCs w:val="28"/>
        </w:rPr>
        <w:t xml:space="preserve">джерела власних коштів, тис. грн; </w:t>
      </w:r>
      <w:r>
        <w:rPr>
          <w:rFonts w:hAnsi="Times New Roman"/>
          <w:i/>
          <w:iCs/>
          <w:sz w:val="28"/>
          <w:szCs w:val="28"/>
        </w:rPr>
        <w:t xml:space="preserve">ДЗ – </w:t>
      </w:r>
      <w:r>
        <w:rPr>
          <w:rFonts w:hAnsi="Times New Roman"/>
          <w:sz w:val="28"/>
          <w:szCs w:val="28"/>
        </w:rPr>
        <w:t>довгострокові кредити і позикові кошти, тис. грн.</w:t>
      </w:r>
    </w:p>
    <w:p w14:paraId="71BEB314" w14:textId="77777777" w:rsidR="00004948" w:rsidRDefault="00004948" w:rsidP="00004948">
      <w:pPr>
        <w:pStyle w:val="a4"/>
        <w:spacing w:before="0" w:beforeAutospacing="0" w:after="0" w:afterAutospacing="0"/>
        <w:ind w:firstLine="709"/>
        <w:jc w:val="both"/>
        <w:rPr>
          <w:rFonts w:hAnsi="Times New Roman"/>
          <w:sz w:val="28"/>
          <w:szCs w:val="28"/>
        </w:rPr>
      </w:pPr>
    </w:p>
    <w:p w14:paraId="3BE90C8A" w14:textId="77777777" w:rsidR="00004948" w:rsidRDefault="00004948" w:rsidP="00004948">
      <w:pPr>
        <w:pStyle w:val="a4"/>
        <w:numPr>
          <w:ilvl w:val="0"/>
          <w:numId w:val="4"/>
        </w:numPr>
        <w:spacing w:before="0" w:beforeAutospacing="0" w:after="0" w:afterAutospacing="0"/>
        <w:jc w:val="both"/>
        <w:rPr>
          <w:rFonts w:hAnsi="Times New Roman"/>
          <w:sz w:val="28"/>
          <w:szCs w:val="28"/>
        </w:rPr>
      </w:pPr>
      <w:r>
        <w:rPr>
          <w:rFonts w:hAnsi="Times New Roman"/>
          <w:sz w:val="28"/>
          <w:szCs w:val="28"/>
        </w:rPr>
        <w:t>Оцінка фінансової стійкості компанії, виходячи з міри покриття основних засобів і необігових активів джерелами коштів:</w:t>
      </w:r>
    </w:p>
    <w:p w14:paraId="7692D0CA" w14:textId="77777777" w:rsidR="00004948" w:rsidRDefault="00004948" w:rsidP="00004948">
      <w:pPr>
        <w:pStyle w:val="a4"/>
        <w:spacing w:before="0" w:beforeAutospacing="0" w:after="0" w:afterAutospacing="0"/>
        <w:ind w:left="1069"/>
        <w:jc w:val="both"/>
        <w:rPr>
          <w:rFonts w:hAnsi="Times New Roman"/>
          <w:sz w:val="28"/>
          <w:szCs w:val="28"/>
        </w:rPr>
      </w:pPr>
    </w:p>
    <w:p w14:paraId="7960BA3C" w14:textId="77777777" w:rsidR="00004948" w:rsidRDefault="00004948" w:rsidP="00004948">
      <w:pPr>
        <w:pStyle w:val="a5"/>
        <w:jc w:val="right"/>
        <w:rPr>
          <w:rFonts w:ascii="Times New Roman" w:hAnsi="Times New Roman"/>
          <w:sz w:val="28"/>
          <w:szCs w:val="28"/>
        </w:rPr>
      </w:pPr>
      <w:r>
        <w:rPr>
          <w:rFonts w:ascii="Times New Roman" w:hAnsi="Times New Roman"/>
          <w:i/>
          <w:sz w:val="28"/>
          <w:szCs w:val="28"/>
        </w:rPr>
        <w:t>ОС &lt; (СС + ДЗ) - ЗЗ</w:t>
      </w:r>
      <w:r>
        <w:rPr>
          <w:rFonts w:ascii="Times New Roman" w:hAnsi="Times New Roman"/>
          <w:sz w:val="28"/>
          <w:szCs w:val="28"/>
        </w:rPr>
        <w:t xml:space="preserve">,                                           (4.2) </w:t>
      </w:r>
    </w:p>
    <w:p w14:paraId="0ED57C85" w14:textId="77777777" w:rsidR="00004948" w:rsidRDefault="00004948" w:rsidP="00004948">
      <w:pPr>
        <w:pStyle w:val="a4"/>
        <w:spacing w:before="0" w:beforeAutospacing="0" w:after="0" w:afterAutospacing="0"/>
        <w:ind w:firstLine="709"/>
        <w:jc w:val="both"/>
        <w:rPr>
          <w:rFonts w:hAnsi="Times New Roman"/>
          <w:sz w:val="28"/>
          <w:szCs w:val="28"/>
        </w:rPr>
      </w:pPr>
    </w:p>
    <w:p w14:paraId="2F16C35F"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З урахуванням цих передумов виділяють чотири типи фінансової стійкості: абсолютну, нормальну, нестійкий фінансовий стан, кризовий фінансовий стан.</w:t>
      </w:r>
    </w:p>
    <w:p w14:paraId="1751F12D"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Для аналізу фінансової стійкості, зокрема, оцінки динаміки рівня фінансової стійкості страховика доцільно також використовувати узагальнюючий показник фінансової стійкості (</w:t>
      </w:r>
      <w:proofErr w:type="spellStart"/>
      <w:r>
        <w:rPr>
          <w:rFonts w:hAnsi="Times New Roman"/>
          <w:sz w:val="28"/>
          <w:szCs w:val="28"/>
        </w:rPr>
        <w:t>Ф</w:t>
      </w:r>
      <w:r>
        <w:rPr>
          <w:rFonts w:hAnsi="Times New Roman"/>
          <w:sz w:val="28"/>
          <w:szCs w:val="28"/>
          <w:vertAlign w:val="subscript"/>
        </w:rPr>
        <w:t>ст</w:t>
      </w:r>
      <w:proofErr w:type="spellEnd"/>
      <w:r>
        <w:rPr>
          <w:rFonts w:hAnsi="Times New Roman"/>
          <w:sz w:val="28"/>
          <w:szCs w:val="28"/>
        </w:rPr>
        <w:t xml:space="preserve"> </w:t>
      </w:r>
      <w:proofErr w:type="spellStart"/>
      <w:r>
        <w:rPr>
          <w:rFonts w:hAnsi="Times New Roman"/>
          <w:sz w:val="28"/>
          <w:szCs w:val="28"/>
          <w:vertAlign w:val="subscript"/>
        </w:rPr>
        <w:t>заг</w:t>
      </w:r>
      <w:proofErr w:type="spellEnd"/>
      <w:r>
        <w:rPr>
          <w:rFonts w:hAnsi="Times New Roman"/>
          <w:sz w:val="28"/>
          <w:szCs w:val="28"/>
        </w:rPr>
        <w:t>), а саме:</w:t>
      </w:r>
    </w:p>
    <w:p w14:paraId="3D9E00C6" w14:textId="77777777" w:rsidR="00004948" w:rsidRDefault="00004948" w:rsidP="00004948">
      <w:pPr>
        <w:pStyle w:val="a4"/>
        <w:spacing w:before="0" w:beforeAutospacing="0" w:after="0" w:afterAutospacing="0"/>
        <w:ind w:firstLine="709"/>
        <w:jc w:val="both"/>
        <w:rPr>
          <w:rFonts w:hAnsi="Times New Roman"/>
          <w:sz w:val="28"/>
          <w:szCs w:val="28"/>
        </w:rPr>
      </w:pPr>
    </w:p>
    <w:p w14:paraId="719072F6" w14:textId="77777777" w:rsidR="00004948" w:rsidRDefault="00004948" w:rsidP="00004948">
      <w:pPr>
        <w:pStyle w:val="a5"/>
        <w:jc w:val="right"/>
        <w:rPr>
          <w:rFonts w:ascii="Times New Roman" w:hAnsi="Times New Roman"/>
          <w:noProof/>
          <w:sz w:val="28"/>
          <w:szCs w:val="28"/>
        </w:rPr>
      </w:pPr>
      <w:r>
        <w:rPr>
          <w:noProof/>
        </w:rPr>
        <w:drawing>
          <wp:inline distT="0" distB="0" distL="0" distR="0" wp14:anchorId="7D155422" wp14:editId="3649A300">
            <wp:extent cx="3943350" cy="628650"/>
            <wp:effectExtent l="0" t="0" r="0" b="0"/>
            <wp:docPr id="3" name="Рисунок 3" descr="https://pidruchniki.com/imag/strah/vov_stsp/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idruchniki.com/imag/strah/vov_stsp/image063.jpg"/>
                    <pic:cNvPicPr>
                      <a:picLocks noChangeAspect="1" noChangeArrowheads="1"/>
                    </pic:cNvPicPr>
                  </pic:nvPicPr>
                  <pic:blipFill>
                    <a:blip r:embed="rId5">
                      <a:clrChange>
                        <a:clrFrom>
                          <a:srgbClr val="FFFFFF"/>
                        </a:clrFrom>
                        <a:clrTo>
                          <a:srgbClr val="FFFFFF">
                            <a:alpha val="0"/>
                          </a:srgbClr>
                        </a:clrTo>
                      </a:clrChange>
                      <a:lum bright="-40000" contrast="40000"/>
                      <a:extLst>
                        <a:ext uri="{28A0092B-C50C-407E-A947-70E740481C1C}">
                          <a14:useLocalDpi xmlns:a14="http://schemas.microsoft.com/office/drawing/2010/main" val="0"/>
                        </a:ext>
                      </a:extLst>
                    </a:blip>
                    <a:srcRect/>
                    <a:stretch>
                      <a:fillRect/>
                    </a:stretch>
                  </pic:blipFill>
                  <pic:spPr bwMode="auto">
                    <a:xfrm>
                      <a:off x="0" y="0"/>
                      <a:ext cx="3943350" cy="628650"/>
                    </a:xfrm>
                    <a:prstGeom prst="rect">
                      <a:avLst/>
                    </a:prstGeom>
                    <a:noFill/>
                    <a:ln>
                      <a:noFill/>
                    </a:ln>
                  </pic:spPr>
                </pic:pic>
              </a:graphicData>
            </a:graphic>
          </wp:inline>
        </w:drawing>
      </w:r>
      <w:r>
        <w:rPr>
          <w:noProof/>
        </w:rPr>
        <w:t xml:space="preserve">                    </w:t>
      </w:r>
      <w:r>
        <w:rPr>
          <w:rFonts w:ascii="Times New Roman" w:hAnsi="Times New Roman"/>
          <w:noProof/>
          <w:sz w:val="28"/>
          <w:szCs w:val="28"/>
        </w:rPr>
        <w:t>(4.3)</w:t>
      </w:r>
    </w:p>
    <w:p w14:paraId="4D9728B3" w14:textId="77777777" w:rsidR="00004948" w:rsidRDefault="00004948" w:rsidP="00004948">
      <w:pPr>
        <w:pStyle w:val="a5"/>
        <w:jc w:val="right"/>
        <w:rPr>
          <w:rFonts w:ascii="Times New Roman" w:hAnsi="Times New Roman"/>
          <w:noProof/>
          <w:sz w:val="28"/>
          <w:szCs w:val="28"/>
        </w:rPr>
      </w:pPr>
    </w:p>
    <w:p w14:paraId="3B013312"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 xml:space="preserve">де </w:t>
      </w:r>
      <w:proofErr w:type="spellStart"/>
      <w:r>
        <w:rPr>
          <w:rFonts w:hAnsi="Times New Roman"/>
          <w:sz w:val="28"/>
          <w:szCs w:val="28"/>
        </w:rPr>
        <w:t>Ф</w:t>
      </w:r>
      <w:r>
        <w:rPr>
          <w:rFonts w:hAnsi="Times New Roman"/>
          <w:sz w:val="28"/>
          <w:szCs w:val="28"/>
          <w:vertAlign w:val="subscript"/>
        </w:rPr>
        <w:t>ст</w:t>
      </w:r>
      <w:proofErr w:type="spellEnd"/>
      <w:r>
        <w:rPr>
          <w:rFonts w:hAnsi="Times New Roman"/>
          <w:sz w:val="28"/>
          <w:szCs w:val="28"/>
          <w:vertAlign w:val="subscript"/>
        </w:rPr>
        <w:t>..</w:t>
      </w:r>
      <w:proofErr w:type="spellStart"/>
      <w:r>
        <w:rPr>
          <w:rFonts w:hAnsi="Times New Roman"/>
          <w:sz w:val="28"/>
          <w:szCs w:val="28"/>
          <w:vertAlign w:val="subscript"/>
        </w:rPr>
        <w:t>заг</w:t>
      </w:r>
      <w:proofErr w:type="spellEnd"/>
      <w:r>
        <w:rPr>
          <w:rFonts w:hAnsi="Times New Roman"/>
          <w:sz w:val="28"/>
          <w:szCs w:val="28"/>
        </w:rPr>
        <w:t xml:space="preserve"> – показник зміни фінансової стійкості у звітному періоді; </w:t>
      </w:r>
      <w:r>
        <w:rPr>
          <w:rFonts w:hAnsi="Times New Roman"/>
          <w:i/>
          <w:iCs/>
          <w:sz w:val="28"/>
          <w:szCs w:val="28"/>
        </w:rPr>
        <w:t>Kdn</w:t>
      </w:r>
      <w:r>
        <w:rPr>
          <w:rFonts w:hAnsi="Times New Roman"/>
          <w:i/>
          <w:iCs/>
          <w:sz w:val="28"/>
          <w:szCs w:val="28"/>
          <w:vertAlign w:val="subscript"/>
        </w:rPr>
        <w:t>0</w:t>
      </w:r>
      <w:r>
        <w:rPr>
          <w:rFonts w:hAnsi="Times New Roman"/>
          <w:sz w:val="28"/>
          <w:szCs w:val="28"/>
        </w:rPr>
        <w:t xml:space="preserve"> та </w:t>
      </w:r>
      <w:r>
        <w:rPr>
          <w:rFonts w:hAnsi="Times New Roman"/>
          <w:i/>
          <w:iCs/>
          <w:sz w:val="28"/>
          <w:szCs w:val="28"/>
        </w:rPr>
        <w:t>Кdn</w:t>
      </w:r>
      <w:r>
        <w:rPr>
          <w:rFonts w:hAnsi="Times New Roman"/>
          <w:i/>
          <w:iCs/>
          <w:sz w:val="28"/>
          <w:szCs w:val="28"/>
          <w:vertAlign w:val="subscript"/>
        </w:rPr>
        <w:t xml:space="preserve">1 </w:t>
      </w:r>
      <w:r>
        <w:rPr>
          <w:rFonts w:hAnsi="Times New Roman"/>
          <w:sz w:val="28"/>
          <w:szCs w:val="28"/>
        </w:rPr>
        <w:t xml:space="preserve">– коефіцієнти довгострокового залучення позикових коштів відповідно у базовому та звітному періодах; </w:t>
      </w:r>
      <w:r>
        <w:rPr>
          <w:rFonts w:hAnsi="Times New Roman"/>
          <w:i/>
          <w:iCs/>
          <w:sz w:val="28"/>
          <w:szCs w:val="28"/>
        </w:rPr>
        <w:t>Зсос</w:t>
      </w:r>
      <w:r>
        <w:rPr>
          <w:rFonts w:hAnsi="Times New Roman"/>
          <w:i/>
          <w:iCs/>
          <w:sz w:val="28"/>
          <w:szCs w:val="28"/>
          <w:vertAlign w:val="subscript"/>
        </w:rPr>
        <w:t>0</w:t>
      </w:r>
      <w:r>
        <w:rPr>
          <w:rFonts w:hAnsi="Times New Roman"/>
          <w:sz w:val="28"/>
          <w:szCs w:val="28"/>
        </w:rPr>
        <w:t xml:space="preserve"> та </w:t>
      </w:r>
      <w:r>
        <w:rPr>
          <w:rFonts w:hAnsi="Times New Roman"/>
          <w:i/>
          <w:iCs/>
          <w:sz w:val="28"/>
          <w:szCs w:val="28"/>
        </w:rPr>
        <w:t>Зсос</w:t>
      </w:r>
      <w:r>
        <w:rPr>
          <w:rFonts w:hAnsi="Times New Roman"/>
          <w:i/>
          <w:iCs/>
          <w:sz w:val="28"/>
          <w:szCs w:val="28"/>
          <w:vertAlign w:val="subscript"/>
        </w:rPr>
        <w:t xml:space="preserve">1 </w:t>
      </w:r>
      <w:r>
        <w:rPr>
          <w:rFonts w:hAnsi="Times New Roman"/>
          <w:sz w:val="28"/>
          <w:szCs w:val="28"/>
        </w:rPr>
        <w:t xml:space="preserve">– коефіцієнти покриття запасів власними обіговими коштами відповідно у базовому та звітному періодах; </w:t>
      </w:r>
      <w:r>
        <w:rPr>
          <w:rFonts w:hAnsi="Times New Roman"/>
          <w:i/>
          <w:iCs/>
          <w:sz w:val="28"/>
          <w:szCs w:val="28"/>
        </w:rPr>
        <w:t>Кзс</w:t>
      </w:r>
      <w:r>
        <w:rPr>
          <w:rFonts w:hAnsi="Times New Roman"/>
          <w:i/>
          <w:iCs/>
          <w:sz w:val="28"/>
          <w:szCs w:val="28"/>
          <w:vertAlign w:val="subscript"/>
        </w:rPr>
        <w:t>0</w:t>
      </w:r>
      <w:r>
        <w:rPr>
          <w:rFonts w:hAnsi="Times New Roman"/>
          <w:sz w:val="28"/>
          <w:szCs w:val="28"/>
        </w:rPr>
        <w:t xml:space="preserve"> та </w:t>
      </w:r>
      <w:r>
        <w:rPr>
          <w:rFonts w:hAnsi="Times New Roman"/>
          <w:i/>
          <w:iCs/>
          <w:sz w:val="28"/>
          <w:szCs w:val="28"/>
        </w:rPr>
        <w:t>Кзс</w:t>
      </w:r>
      <w:r>
        <w:rPr>
          <w:rFonts w:hAnsi="Times New Roman"/>
          <w:i/>
          <w:iCs/>
          <w:sz w:val="28"/>
          <w:szCs w:val="28"/>
          <w:vertAlign w:val="subscript"/>
        </w:rPr>
        <w:t>1</w:t>
      </w:r>
      <w:r>
        <w:rPr>
          <w:rFonts w:hAnsi="Times New Roman"/>
          <w:sz w:val="28"/>
          <w:szCs w:val="28"/>
        </w:rPr>
        <w:t xml:space="preserve"> – коефіцієнти співвідношення позичених та власних коштів відповідно у базовому та звітному періодах; </w:t>
      </w:r>
      <w:r>
        <w:rPr>
          <w:rFonts w:hAnsi="Times New Roman"/>
          <w:i/>
          <w:iCs/>
          <w:sz w:val="28"/>
          <w:szCs w:val="28"/>
        </w:rPr>
        <w:t>Крс</w:t>
      </w:r>
      <w:r>
        <w:rPr>
          <w:rFonts w:hAnsi="Times New Roman"/>
          <w:i/>
          <w:iCs/>
          <w:sz w:val="28"/>
          <w:szCs w:val="28"/>
          <w:vertAlign w:val="subscript"/>
        </w:rPr>
        <w:t>0</w:t>
      </w:r>
      <w:r>
        <w:rPr>
          <w:rFonts w:hAnsi="Times New Roman"/>
          <w:sz w:val="28"/>
          <w:szCs w:val="28"/>
        </w:rPr>
        <w:t xml:space="preserve"> та </w:t>
      </w:r>
      <w:r>
        <w:rPr>
          <w:rFonts w:hAnsi="Times New Roman"/>
          <w:i/>
          <w:iCs/>
          <w:sz w:val="28"/>
          <w:szCs w:val="28"/>
        </w:rPr>
        <w:t>Kpc</w:t>
      </w:r>
      <w:r>
        <w:rPr>
          <w:rFonts w:hAnsi="Times New Roman"/>
          <w:i/>
          <w:iCs/>
          <w:sz w:val="28"/>
          <w:szCs w:val="28"/>
          <w:vertAlign w:val="subscript"/>
        </w:rPr>
        <w:t>1</w:t>
      </w:r>
      <w:r>
        <w:rPr>
          <w:rFonts w:hAnsi="Times New Roman"/>
          <w:sz w:val="28"/>
          <w:szCs w:val="28"/>
        </w:rPr>
        <w:t xml:space="preserve"> – коефіцієнти реальної вартості майна відповідно у базовому та звітному періодах; </w:t>
      </w:r>
      <w:r>
        <w:rPr>
          <w:rFonts w:hAnsi="Times New Roman"/>
          <w:i/>
          <w:iCs/>
          <w:sz w:val="28"/>
          <w:szCs w:val="28"/>
        </w:rPr>
        <w:t>Кnа</w:t>
      </w:r>
      <w:r>
        <w:rPr>
          <w:rFonts w:hAnsi="Times New Roman"/>
          <w:i/>
          <w:iCs/>
          <w:sz w:val="28"/>
          <w:szCs w:val="28"/>
          <w:vertAlign w:val="subscript"/>
        </w:rPr>
        <w:t>0</w:t>
      </w:r>
      <w:r>
        <w:rPr>
          <w:rFonts w:hAnsi="Times New Roman"/>
          <w:sz w:val="28"/>
          <w:szCs w:val="28"/>
        </w:rPr>
        <w:t xml:space="preserve"> та </w:t>
      </w:r>
      <w:r>
        <w:rPr>
          <w:rFonts w:hAnsi="Times New Roman"/>
          <w:i/>
          <w:iCs/>
          <w:sz w:val="28"/>
          <w:szCs w:val="28"/>
        </w:rPr>
        <w:t>Кnа</w:t>
      </w:r>
      <w:r>
        <w:rPr>
          <w:rFonts w:hAnsi="Times New Roman"/>
          <w:i/>
          <w:iCs/>
          <w:sz w:val="28"/>
          <w:szCs w:val="28"/>
          <w:vertAlign w:val="subscript"/>
        </w:rPr>
        <w:t>1</w:t>
      </w:r>
      <w:r>
        <w:rPr>
          <w:rFonts w:hAnsi="Times New Roman"/>
          <w:sz w:val="28"/>
          <w:szCs w:val="28"/>
        </w:rPr>
        <w:t xml:space="preserve"> – коефіцієнти постійного активу відповідно у базовому та звітному періодах.</w:t>
      </w:r>
    </w:p>
    <w:p w14:paraId="3810FD6D" w14:textId="77777777" w:rsidR="00004948" w:rsidRDefault="00004948" w:rsidP="00004948">
      <w:pPr>
        <w:pStyle w:val="a4"/>
        <w:spacing w:before="0" w:beforeAutospacing="0" w:after="0" w:afterAutospacing="0"/>
        <w:ind w:firstLine="709"/>
        <w:jc w:val="both"/>
        <w:rPr>
          <w:rFonts w:hAnsi="Times New Roman"/>
          <w:sz w:val="28"/>
          <w:szCs w:val="28"/>
        </w:rPr>
      </w:pPr>
    </w:p>
    <w:p w14:paraId="7ED707CD"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Аналіз рентабельності (збитковості) страхової діяльності доцільно здійснювати на основі розрахунку системи показників ефективності страхової діяльності:</w:t>
      </w:r>
    </w:p>
    <w:p w14:paraId="1A532F13"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1) рівня співвідношення доходів і витрат страхової компанії;</w:t>
      </w:r>
    </w:p>
    <w:p w14:paraId="04419917"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2) маржі прибутку страхової компанії;</w:t>
      </w:r>
    </w:p>
    <w:p w14:paraId="639AA8C6"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3) рівня прибутковості витрат страхової компанії.</w:t>
      </w:r>
    </w:p>
    <w:p w14:paraId="3F498E38"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На основі визначених показників ефективності проводиться аналіз їх динаміки, а також оцінюється вплив результатів діяльності з окремих видів страхування на середні результати всієї страхової діяльності.</w:t>
      </w:r>
    </w:p>
    <w:p w14:paraId="03E1CF77"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lastRenderedPageBreak/>
        <w:t xml:space="preserve">Важливим етапом аналізу страхової діяльності є </w:t>
      </w:r>
      <w:r>
        <w:rPr>
          <w:rFonts w:hAnsi="Times New Roman"/>
          <w:b/>
          <w:i/>
          <w:sz w:val="28"/>
          <w:szCs w:val="28"/>
        </w:rPr>
        <w:t>оцінка страхового портфеля</w:t>
      </w:r>
      <w:r>
        <w:rPr>
          <w:rFonts w:hAnsi="Times New Roman"/>
          <w:sz w:val="28"/>
          <w:szCs w:val="28"/>
        </w:rPr>
        <w:t>. Поняття «страховий портфель» вживається для встановлення фактичної кількості застрахованих об'єктів або чинних договорів страхування на певній території. Структура страхового портфеля може аналізуватись в аспекті питомої ваги чинних договорів і новоукладених, договорів з мінімальними (малими) та максимальними (великими) страховими сумами, групових страхувань та індивідуальних. При аналізі страхового портфеля необхідно звертати увагу на його динамічність, що характеризується співвідношенням між договорами, які вже закінчуються, і договорами, які знову укладаються.</w:t>
      </w:r>
    </w:p>
    <w:p w14:paraId="08E0C8E6"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Кінцевим етапом фінансового аналізу повинна бути оцінка ринкового профілю страхової компанії, яка може включати:</w:t>
      </w:r>
    </w:p>
    <w:p w14:paraId="3287C9AA" w14:textId="77777777" w:rsidR="00004948" w:rsidRDefault="00004948" w:rsidP="00004948">
      <w:pPr>
        <w:pStyle w:val="a4"/>
        <w:numPr>
          <w:ilvl w:val="1"/>
          <w:numId w:val="5"/>
        </w:numPr>
        <w:tabs>
          <w:tab w:val="left" w:pos="1134"/>
        </w:tabs>
        <w:spacing w:before="0" w:beforeAutospacing="0" w:after="0" w:afterAutospacing="0"/>
        <w:ind w:left="1276" w:hanging="425"/>
        <w:jc w:val="both"/>
        <w:rPr>
          <w:rFonts w:hAnsi="Times New Roman"/>
          <w:sz w:val="28"/>
          <w:szCs w:val="28"/>
        </w:rPr>
      </w:pPr>
      <w:r>
        <w:rPr>
          <w:rFonts w:hAnsi="Times New Roman"/>
          <w:sz w:val="28"/>
          <w:szCs w:val="28"/>
        </w:rPr>
        <w:t>оцінку ризику страхового ринку;</w:t>
      </w:r>
    </w:p>
    <w:p w14:paraId="1E505BBF" w14:textId="77777777" w:rsidR="00004948" w:rsidRDefault="00004948" w:rsidP="00004948">
      <w:pPr>
        <w:pStyle w:val="a4"/>
        <w:numPr>
          <w:ilvl w:val="1"/>
          <w:numId w:val="5"/>
        </w:numPr>
        <w:tabs>
          <w:tab w:val="left" w:pos="1134"/>
        </w:tabs>
        <w:spacing w:before="0" w:beforeAutospacing="0" w:after="0" w:afterAutospacing="0"/>
        <w:ind w:left="1276" w:hanging="425"/>
        <w:jc w:val="both"/>
        <w:rPr>
          <w:rFonts w:hAnsi="Times New Roman"/>
          <w:sz w:val="28"/>
          <w:szCs w:val="28"/>
        </w:rPr>
      </w:pPr>
      <w:r>
        <w:rPr>
          <w:rFonts w:hAnsi="Times New Roman"/>
          <w:sz w:val="28"/>
          <w:szCs w:val="28"/>
        </w:rPr>
        <w:t>оцінку конкурентної позиції страхової компанії на ринку;</w:t>
      </w:r>
    </w:p>
    <w:p w14:paraId="0BDC71D3" w14:textId="77777777" w:rsidR="00004948" w:rsidRDefault="00004948" w:rsidP="00004948">
      <w:pPr>
        <w:pStyle w:val="a4"/>
        <w:numPr>
          <w:ilvl w:val="1"/>
          <w:numId w:val="5"/>
        </w:numPr>
        <w:tabs>
          <w:tab w:val="left" w:pos="1134"/>
        </w:tabs>
        <w:spacing w:before="0" w:beforeAutospacing="0" w:after="0" w:afterAutospacing="0"/>
        <w:ind w:left="1276" w:hanging="425"/>
        <w:jc w:val="both"/>
        <w:rPr>
          <w:rFonts w:hAnsi="Times New Roman"/>
          <w:sz w:val="28"/>
          <w:szCs w:val="28"/>
        </w:rPr>
      </w:pPr>
      <w:r>
        <w:rPr>
          <w:rFonts w:hAnsi="Times New Roman"/>
          <w:sz w:val="28"/>
          <w:szCs w:val="28"/>
        </w:rPr>
        <w:t>аналіз ризику страхової діяльності та його диверсифікації.</w:t>
      </w:r>
    </w:p>
    <w:p w14:paraId="2307716A"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Дещо інші класифікаційні ознаки показників фінансової стійкості реалізуються в зарубіжних методиках. Так, за методикою Національної асоціації страхових організацій США (NAIC) виділяють абсолютні та відносні фінансові показники (під якими розуміють показники фінансової стійкості):</w:t>
      </w:r>
    </w:p>
    <w:p w14:paraId="6F96A71A"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 xml:space="preserve">1) абсолютні показники (статутний фонд і власний капітал, </w:t>
      </w:r>
      <w:proofErr w:type="spellStart"/>
      <w:r>
        <w:rPr>
          <w:rFonts w:hAnsi="Times New Roman"/>
          <w:sz w:val="28"/>
          <w:szCs w:val="28"/>
        </w:rPr>
        <w:t>нетто</w:t>
      </w:r>
      <w:proofErr w:type="spellEnd"/>
      <w:r>
        <w:rPr>
          <w:rFonts w:hAnsi="Times New Roman"/>
          <w:sz w:val="28"/>
          <w:szCs w:val="28"/>
        </w:rPr>
        <w:t>-премія, технічні резерви, виплати, видатки на ведення справи і комісійні надходження від інвестицій);</w:t>
      </w:r>
    </w:p>
    <w:p w14:paraId="0195881C"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2) відносні показники для страхових компаній, що займаються майновим страхуванням, поділяють на чотири групи: загальні показники, показники прибутковості, показники ліквідності, рівень резервів.</w:t>
      </w:r>
    </w:p>
    <w:p w14:paraId="609350CB"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Отже, аналіз різних підходів до побудови системи оціночних показників фінансової стійкості страхової організації приводить до висновку, що успішне вирішення цієї проблеми можливе за умов:</w:t>
      </w:r>
    </w:p>
    <w:p w14:paraId="0E8F658D" w14:textId="77777777" w:rsidR="00004948" w:rsidRDefault="00004948" w:rsidP="00004948">
      <w:pPr>
        <w:pStyle w:val="a4"/>
        <w:numPr>
          <w:ilvl w:val="1"/>
          <w:numId w:val="6"/>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вдосконалення інформаційного забезпечення системи оцінки фінансової стійкості та впровадження адекватних страховому бізнесу форм фінансової звітності;</w:t>
      </w:r>
    </w:p>
    <w:p w14:paraId="2E377D15" w14:textId="77777777" w:rsidR="00004948" w:rsidRDefault="00004948" w:rsidP="00004948">
      <w:pPr>
        <w:pStyle w:val="a4"/>
        <w:numPr>
          <w:ilvl w:val="1"/>
          <w:numId w:val="6"/>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адаптації передового зарубіжного досвіду оцінки фінансової стійкості організації до вітчизняних умов;</w:t>
      </w:r>
    </w:p>
    <w:p w14:paraId="21C66493" w14:textId="77777777" w:rsidR="00004948" w:rsidRDefault="00004948" w:rsidP="00004948">
      <w:pPr>
        <w:pStyle w:val="a4"/>
        <w:numPr>
          <w:ilvl w:val="1"/>
          <w:numId w:val="6"/>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вдосконалення рейтингової системи оцінки страхових організацій України;</w:t>
      </w:r>
    </w:p>
    <w:p w14:paraId="530D1BFD" w14:textId="77777777" w:rsidR="00004948" w:rsidRDefault="00004948" w:rsidP="00004948">
      <w:pPr>
        <w:pStyle w:val="a4"/>
        <w:numPr>
          <w:ilvl w:val="1"/>
          <w:numId w:val="6"/>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створення можливостей для прогнозування та управління фінансовою стійкістю страховика;</w:t>
      </w:r>
    </w:p>
    <w:p w14:paraId="38F7A8C7" w14:textId="77777777" w:rsidR="00004948" w:rsidRDefault="00004948" w:rsidP="00004948">
      <w:pPr>
        <w:pStyle w:val="a4"/>
        <w:numPr>
          <w:ilvl w:val="1"/>
          <w:numId w:val="6"/>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створення в організаційній структурі компанії відповідних відділів фінансового аналізу, спеціалісти яких займалися б оцінкою фінансового стану страховика (фінансової стійкості, платоспроможності, ліквідності, фінансових результатів) та надавали відповідні рекомендації щодо його покращення.</w:t>
      </w:r>
    </w:p>
    <w:p w14:paraId="1012BB67"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Тільки за умов забезпечення стійкості фінансового стану страхові компанії зможуть реалізувати свої потенційні можливості щодо інвестування.</w:t>
      </w:r>
    </w:p>
    <w:p w14:paraId="39AC217B" w14:textId="77777777" w:rsidR="00004948" w:rsidRDefault="00004948" w:rsidP="00004948">
      <w:pPr>
        <w:pStyle w:val="a4"/>
        <w:spacing w:before="0" w:beforeAutospacing="0" w:after="0" w:afterAutospacing="0"/>
        <w:ind w:firstLine="709"/>
        <w:jc w:val="both"/>
        <w:rPr>
          <w:rFonts w:hAnsi="Times New Roman"/>
          <w:sz w:val="28"/>
          <w:szCs w:val="28"/>
        </w:rPr>
      </w:pPr>
    </w:p>
    <w:p w14:paraId="1B8D34F7" w14:textId="77777777" w:rsidR="00004948" w:rsidRDefault="00004948" w:rsidP="00004948">
      <w:pPr>
        <w:pStyle w:val="a4"/>
        <w:spacing w:before="0" w:beforeAutospacing="0" w:after="0" w:afterAutospacing="0"/>
        <w:ind w:firstLine="709"/>
        <w:jc w:val="both"/>
        <w:rPr>
          <w:rFonts w:hAnsi="Times New Roman"/>
          <w:sz w:val="28"/>
          <w:szCs w:val="28"/>
        </w:rPr>
      </w:pPr>
    </w:p>
    <w:p w14:paraId="1335B3F0" w14:textId="77777777" w:rsidR="00004948" w:rsidRDefault="00004948" w:rsidP="00004948">
      <w:pPr>
        <w:pStyle w:val="a4"/>
        <w:spacing w:before="0" w:beforeAutospacing="0" w:after="0" w:afterAutospacing="0"/>
        <w:ind w:firstLine="709"/>
        <w:jc w:val="both"/>
        <w:rPr>
          <w:rFonts w:hAnsi="Times New Roman"/>
          <w:sz w:val="28"/>
          <w:szCs w:val="28"/>
        </w:rPr>
      </w:pPr>
    </w:p>
    <w:p w14:paraId="0E44A740" w14:textId="77777777" w:rsidR="00004948" w:rsidRDefault="00004948" w:rsidP="00004948">
      <w:pPr>
        <w:pStyle w:val="a4"/>
        <w:spacing w:before="0" w:beforeAutospacing="0" w:after="0" w:afterAutospacing="0"/>
        <w:ind w:firstLine="709"/>
        <w:jc w:val="both"/>
        <w:rPr>
          <w:rFonts w:hAnsi="Times New Roman"/>
          <w:sz w:val="28"/>
          <w:szCs w:val="28"/>
        </w:rPr>
      </w:pPr>
    </w:p>
    <w:p w14:paraId="7AD10A67" w14:textId="77777777" w:rsidR="00004948" w:rsidRDefault="00004948" w:rsidP="00004948">
      <w:pPr>
        <w:pStyle w:val="a6"/>
        <w:numPr>
          <w:ilvl w:val="1"/>
          <w:numId w:val="7"/>
        </w:numPr>
        <w:spacing w:after="0" w:line="240" w:lineRule="auto"/>
        <w:ind w:left="567" w:hanging="567"/>
        <w:jc w:val="center"/>
        <w:rPr>
          <w:rFonts w:ascii="Times New Roman" w:hAnsi="Times New Roman"/>
          <w:b/>
          <w:sz w:val="28"/>
          <w:szCs w:val="28"/>
        </w:rPr>
      </w:pPr>
      <w:r>
        <w:rPr>
          <w:rFonts w:ascii="Times New Roman" w:hAnsi="Times New Roman"/>
          <w:b/>
          <w:bCs/>
          <w:sz w:val="28"/>
          <w:szCs w:val="28"/>
        </w:rPr>
        <w:t>Теоретичні основи оцінки вартості страхової організації</w:t>
      </w:r>
    </w:p>
    <w:p w14:paraId="40890E8C" w14:textId="77777777" w:rsidR="00004948" w:rsidRDefault="00004948" w:rsidP="00004948">
      <w:pPr>
        <w:pStyle w:val="a6"/>
        <w:spacing w:after="0" w:line="240" w:lineRule="auto"/>
        <w:ind w:left="780"/>
        <w:jc w:val="center"/>
        <w:rPr>
          <w:rFonts w:ascii="Times New Roman" w:hAnsi="Times New Roman"/>
          <w:bCs/>
          <w:sz w:val="28"/>
          <w:szCs w:val="28"/>
        </w:rPr>
      </w:pPr>
    </w:p>
    <w:p w14:paraId="64FFF7E2"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Щоб правильно обрати страхову компанію, а також, щоб відстежити фінансовий стан того страховика, з яким уже укладений договір страхування, в окремих методиках пропонується проводити аналіз за такими показниками, як:</w:t>
      </w:r>
    </w:p>
    <w:p w14:paraId="4AD58FF0"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розмір і якість активів (основний індикатор рівня і ліквідності страховика);</w:t>
      </w:r>
    </w:p>
    <w:p w14:paraId="7DFFC72C"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структура страхового портфеля страховика (перевага одного типу страхових ризиків у страховому портфелі значно підвищує ймовірність здійснення значних страхових виплат, у підсумку призводить до фінансової нестійкості такого страховика);</w:t>
      </w:r>
    </w:p>
    <w:p w14:paraId="5888CCC8"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розмір статутного фонду і власного капіталу страховика та перспективи їхнього зростання (змінами до закону</w:t>
      </w:r>
      <w:r>
        <w:t xml:space="preserve"> </w:t>
      </w:r>
      <w:r>
        <w:rPr>
          <w:rFonts w:hAnsi="Times New Roman"/>
          <w:sz w:val="28"/>
          <w:szCs w:val="28"/>
        </w:rPr>
        <w:t>України  «Про страхування» введені нові вимоги до мінімального розміру статутного фонду – в сумі еквівалентній 1 млн. євро);</w:t>
      </w:r>
    </w:p>
    <w:p w14:paraId="132500C8"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прибутковість діяльності страховика, що дає можливість оцінити ефективність його роботи;</w:t>
      </w:r>
    </w:p>
    <w:p w14:paraId="0D9BB042"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поточні балансові показники страхової компанії та темни їхнього зростання;</w:t>
      </w:r>
    </w:p>
    <w:p w14:paraId="28C57EEA"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співвідношення страхових платежів страхової компанії і страхових виплат;</w:t>
      </w:r>
    </w:p>
    <w:p w14:paraId="3BA28D8E" w14:textId="77777777" w:rsidR="00004948" w:rsidRDefault="00004948" w:rsidP="00004948">
      <w:pPr>
        <w:pStyle w:val="a4"/>
        <w:numPr>
          <w:ilvl w:val="1"/>
          <w:numId w:val="8"/>
        </w:numPr>
        <w:tabs>
          <w:tab w:val="left" w:pos="1134"/>
        </w:tabs>
        <w:spacing w:before="0" w:beforeAutospacing="0" w:after="0" w:afterAutospacing="0"/>
        <w:ind w:left="22" w:firstLine="829"/>
        <w:jc w:val="both"/>
        <w:rPr>
          <w:rFonts w:hAnsi="Times New Roman"/>
          <w:sz w:val="28"/>
          <w:szCs w:val="28"/>
        </w:rPr>
      </w:pPr>
      <w:r>
        <w:rPr>
          <w:rFonts w:hAnsi="Times New Roman"/>
          <w:sz w:val="28"/>
          <w:szCs w:val="28"/>
        </w:rPr>
        <w:t>фінансові показники страховика, що істотно впливають на його діяльність (досвід роботи на ринку, основні корпоративні клієнти, власники страховика, кадрова політика, регіональна мережа, основні перестрахувальники, аудитор, участь у державних і муніципальних програмах тощо).</w:t>
      </w:r>
    </w:p>
    <w:p w14:paraId="661D636A"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Більшість із наведених показників подається у фінансовій звітності, зокрема, балансі (форма № 1), звіті про фінансові результати (форма № 2) та примітках до фінансової звітності.</w:t>
      </w:r>
    </w:p>
    <w:p w14:paraId="107BC9C1"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Наведемо характеристику найбільш важливих із них для оцінки діяльності страховика.</w:t>
      </w:r>
    </w:p>
    <w:p w14:paraId="77F7A855"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«Актив» характеризує розмір коштів страхової компанії, які інвестовані в цінні папери, нерухомість, рахунки та депозити в банках, інші матеріальні цінності та права вимоги. Джерела цих коштів –– статутний та резервний капітал, технічні резерви, сума нерозподіленого прибутку та інші пасиви.</w:t>
      </w:r>
    </w:p>
    <w:p w14:paraId="7301C00F"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Співвідношення суми коштів у вигляді інвестиційних вкладень і грошових коштів до загальної суми активів повинно бути якнайближче до коефіцієнта 1.</w:t>
      </w:r>
    </w:p>
    <w:p w14:paraId="2531F0F8"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lastRenderedPageBreak/>
        <w:t>Співвідношення суми коштів у вигляді інвестиційних вкладень і нових коштів до розміру страхових резервів визначає ступінь розміщення коштів, за рахунок яких покриваються страхові зобов'язання страховика. Показник співвідношення повинен дорівнювати або бути більше 1.</w:t>
      </w:r>
    </w:p>
    <w:p w14:paraId="07F614C4"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«Довгострокові фінансові інвестиції» характеризує розмір фінансових інвестицій на період більше одного року; всі інвестиції, які не можуть бути вільно реалізовані в будь-який момент, а також включають фінансові інвестиції, які за відповідними положеннями (стандартами) обліковуються методом участі в капіталі.</w:t>
      </w:r>
    </w:p>
    <w:p w14:paraId="06875F4D"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«Поточні фінансові інвестиції» характеризує розмір фінансових інвестицій на строк, що не перевищує один рік, які можуть бути вільно реалізовані в будь-який момент (крім інвестицій, які є еквівалентами грошових коштів).</w:t>
      </w:r>
    </w:p>
    <w:p w14:paraId="125FB403"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«Грошові кошти та їх еквіваленти» характеризує розмір коштів у касі, на поточних та інших рахунках в банках, які можуть бути використані для поточних операцій, а також еквіваленти грошових коштів.</w:t>
      </w:r>
    </w:p>
    <w:p w14:paraId="7C89A2EA"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«Власний капітал» – це сума капіталу, вільного від зобов'язань страховика і виконання, що є додатковою гарантією при відхиленні їхнього розміру від розрахункових величин. До складу власного капіталу входять: статутний фонд, додатковий капітал, нерозподілений прибуток, резервний фонд та інший капітал за винятком неоплаченого та вилученого капіталу.</w:t>
      </w:r>
    </w:p>
    <w:p w14:paraId="473BE451"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Значне перевищення власного капіталу над статутним фондом вказує на прибуткову діяльність страховика, у тому числі можливість здійснення виплат дивідендів, а також проведення реінвестування капіталу.</w:t>
      </w:r>
    </w:p>
    <w:p w14:paraId="5FB2D443"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Перевищення статутного фонду над власним капіталом свідчить про збитковість у діяльності страховика або вилучення частини статутного фонду чи наявність значної заборгованості засновників щодо сплати статутного фонду.</w:t>
      </w:r>
    </w:p>
    <w:p w14:paraId="6A85EA33"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Значний розмір сплаченого статутного фонду доводить зацікавленість власників у подальшому розвитку страховика.</w:t>
      </w:r>
    </w:p>
    <w:p w14:paraId="2E769AE4"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«Статутний фонд» визначає розмір сплаченого статутного фонду страховика та характеризує виконання ним вимог Закону України «Про страхування».</w:t>
      </w:r>
    </w:p>
    <w:p w14:paraId="1720FA0B"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«Страхові премії» характеризує розмір коштів, отриманих страховиком за договорами страхування, а також коштів, отриманих за договорами перестрахування, укладеними з іншими страховиками.</w:t>
      </w:r>
    </w:p>
    <w:p w14:paraId="672529F9"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«Темпи зростання страхової премії» характеризує динаміку розвитку страхової компанії. При стабільній діяльності страхової компанії зміна надходжень страхової премії знаходиться в межах 25 %. Різке збільшення темпів зростання страхової премії означає зростання зобов'язань страховика, що повинно бути підкріплено достатнім обсягом власного капіталу. Значне зниження темпів зростання страхової премії порушує збалансованість страхової діяльності, що може негативно позначитися на фінансовому стані страхової компанії.</w:t>
      </w:r>
    </w:p>
    <w:p w14:paraId="17C81538"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lastRenderedPageBreak/>
        <w:t>Показник «Страхові виплати» характеризує розмір коштів, фактично виплачених страховиком за страховими випадками, при цьому:</w:t>
      </w:r>
    </w:p>
    <w:p w14:paraId="71E2BE10" w14:textId="77777777" w:rsidR="00004948" w:rsidRDefault="00004948" w:rsidP="00004948">
      <w:pPr>
        <w:pStyle w:val="a4"/>
        <w:numPr>
          <w:ilvl w:val="0"/>
          <w:numId w:val="10"/>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страхові виплати за договорами особистого страхування здійснюються незалежно від суми, яку має отримати одержувач за державним соціальним страхуванням, соціальним забезпеченням, і суми, що має бути йому сплачена як відшкодування збитків;</w:t>
      </w:r>
    </w:p>
    <w:p w14:paraId="22A258E9" w14:textId="77777777" w:rsidR="00004948" w:rsidRDefault="00004948" w:rsidP="00004948">
      <w:pPr>
        <w:pStyle w:val="a4"/>
        <w:numPr>
          <w:ilvl w:val="0"/>
          <w:numId w:val="10"/>
        </w:numPr>
        <w:tabs>
          <w:tab w:val="left" w:pos="1134"/>
        </w:tabs>
        <w:spacing w:before="0" w:beforeAutospacing="0" w:after="0" w:afterAutospacing="0"/>
        <w:ind w:left="0" w:firstLine="851"/>
        <w:jc w:val="both"/>
        <w:rPr>
          <w:rFonts w:hAnsi="Times New Roman"/>
          <w:sz w:val="28"/>
          <w:szCs w:val="28"/>
        </w:rPr>
      </w:pPr>
      <w:r>
        <w:rPr>
          <w:rFonts w:hAnsi="Times New Roman"/>
          <w:sz w:val="28"/>
          <w:szCs w:val="28"/>
        </w:rPr>
        <w:t>страхове відшкодування, яке виплачується за умовами майнового страхування і страхування відповідальності при настанні страхового випадку, не може перевищувати розміру прямого збитку, якого зазнав страхувальник або третя особа.</w:t>
      </w:r>
    </w:p>
    <w:p w14:paraId="4939A81A" w14:textId="77777777" w:rsidR="00004948" w:rsidRDefault="00004948" w:rsidP="00004948">
      <w:pPr>
        <w:pStyle w:val="a4"/>
        <w:spacing w:before="0" w:beforeAutospacing="0" w:after="0" w:afterAutospacing="0"/>
        <w:ind w:firstLine="851"/>
        <w:jc w:val="both"/>
        <w:rPr>
          <w:rFonts w:hAnsi="Times New Roman"/>
          <w:sz w:val="28"/>
          <w:szCs w:val="28"/>
        </w:rPr>
      </w:pPr>
      <w:r>
        <w:rPr>
          <w:rFonts w:hAnsi="Times New Roman"/>
          <w:sz w:val="28"/>
          <w:szCs w:val="28"/>
        </w:rPr>
        <w:t>Показник «Страхові резерви» характеризує забезпечення страховиком майбутніх страхових виплат і розділяється на:</w:t>
      </w:r>
    </w:p>
    <w:p w14:paraId="43F2D5E5" w14:textId="77777777" w:rsidR="00004948" w:rsidRDefault="00004948" w:rsidP="00004948">
      <w:pPr>
        <w:pStyle w:val="a4"/>
        <w:numPr>
          <w:ilvl w:val="1"/>
          <w:numId w:val="9"/>
        </w:numPr>
        <w:tabs>
          <w:tab w:val="left" w:pos="1134"/>
        </w:tabs>
        <w:spacing w:before="0" w:beforeAutospacing="0" w:after="0" w:afterAutospacing="0"/>
        <w:ind w:left="1701" w:hanging="850"/>
        <w:jc w:val="both"/>
        <w:rPr>
          <w:rFonts w:hAnsi="Times New Roman"/>
          <w:sz w:val="28"/>
          <w:szCs w:val="28"/>
        </w:rPr>
      </w:pPr>
      <w:r>
        <w:rPr>
          <w:rFonts w:hAnsi="Times New Roman"/>
          <w:sz w:val="28"/>
          <w:szCs w:val="28"/>
        </w:rPr>
        <w:t>резерв незароблених премій;</w:t>
      </w:r>
    </w:p>
    <w:p w14:paraId="560493F9" w14:textId="77777777" w:rsidR="00004948" w:rsidRDefault="00004948" w:rsidP="00004948">
      <w:pPr>
        <w:pStyle w:val="a4"/>
        <w:numPr>
          <w:ilvl w:val="1"/>
          <w:numId w:val="9"/>
        </w:numPr>
        <w:tabs>
          <w:tab w:val="left" w:pos="1134"/>
        </w:tabs>
        <w:spacing w:before="0" w:beforeAutospacing="0" w:after="0" w:afterAutospacing="0"/>
        <w:ind w:left="1701" w:hanging="850"/>
        <w:jc w:val="both"/>
        <w:rPr>
          <w:rFonts w:hAnsi="Times New Roman"/>
          <w:sz w:val="28"/>
          <w:szCs w:val="28"/>
        </w:rPr>
      </w:pPr>
      <w:r>
        <w:rPr>
          <w:rFonts w:hAnsi="Times New Roman"/>
          <w:sz w:val="28"/>
          <w:szCs w:val="28"/>
        </w:rPr>
        <w:t>резерв збитків;</w:t>
      </w:r>
    </w:p>
    <w:p w14:paraId="08AD92E0" w14:textId="77777777" w:rsidR="00004948" w:rsidRDefault="00004948" w:rsidP="00004948">
      <w:pPr>
        <w:pStyle w:val="a4"/>
        <w:numPr>
          <w:ilvl w:val="1"/>
          <w:numId w:val="9"/>
        </w:numPr>
        <w:tabs>
          <w:tab w:val="left" w:pos="1134"/>
        </w:tabs>
        <w:spacing w:before="0" w:beforeAutospacing="0" w:after="0" w:afterAutospacing="0"/>
        <w:ind w:left="1701" w:hanging="850"/>
        <w:jc w:val="both"/>
        <w:rPr>
          <w:rFonts w:hAnsi="Times New Roman"/>
          <w:sz w:val="28"/>
          <w:szCs w:val="28"/>
        </w:rPr>
      </w:pPr>
      <w:r>
        <w:rPr>
          <w:rFonts w:hAnsi="Times New Roman"/>
          <w:sz w:val="28"/>
          <w:szCs w:val="28"/>
        </w:rPr>
        <w:t>резерви страхування життя.</w:t>
      </w:r>
    </w:p>
    <w:p w14:paraId="05E83F92"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«Забезпеченість власними коштами» визначається як співвідношення показників власного капіталу та технічних резервів.</w:t>
      </w:r>
    </w:p>
    <w:p w14:paraId="39DB6D40"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Він відображає ступінь покриття власними коштами страховика страхових зобов'язань на випадок перевищення фактичних страхових зобов'язань над розрахунковими. Оптимальне значення показника більше 28 %. Достатня наявність власних коштів страховика, вільних від зобов'язань, є чинником його фінансової стійкості.</w:t>
      </w:r>
    </w:p>
    <w:p w14:paraId="31FB0658"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«Рівень покриття інвестиційними активами страхових резервів» визначається як співвідношення розміру інвестиційних активів та грошових коштів до страхових резервів (резервів незароблених премій).</w:t>
      </w:r>
    </w:p>
    <w:p w14:paraId="062F2C7F"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визначає ступінь розміщення коштів, за рахунок яких покриваються зобов'язання страхової компанії, в інвестиційних активах і коштах. Інвестиційні активи і кошти повинні відповідати чи перевищувати розмір страхових резервів. Наявність протилежної тенденції може означати розміщення засобів у неліквідних активах або високий ступінь ризику (дебіторська заборгованість, нематеріальні активи, устаткування і матеріали).</w:t>
      </w:r>
    </w:p>
    <w:p w14:paraId="5ACAC566"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 xml:space="preserve">Показник «Частки страхових платежів, що належать </w:t>
      </w:r>
      <w:proofErr w:type="spellStart"/>
      <w:r>
        <w:rPr>
          <w:rFonts w:hAnsi="Times New Roman"/>
          <w:sz w:val="28"/>
          <w:szCs w:val="28"/>
        </w:rPr>
        <w:t>перестраховикам</w:t>
      </w:r>
      <w:proofErr w:type="spellEnd"/>
      <w:r>
        <w:rPr>
          <w:rFonts w:hAnsi="Times New Roman"/>
          <w:sz w:val="28"/>
          <w:szCs w:val="28"/>
        </w:rPr>
        <w:t>» характеризує ступінь участі страхової компанії у такій системі забезпечення стійкості страхової діяльності, як перестрахування ризиків. Оптимальне значення показника знаходиться в межах від 5% до 50% від валових показників страхових платежів. Значення нижче запропонованих меж може вказувати на практичну відсутність такого фактора забезпечення фінансової стійкості, як перестрахування; значення вище запропонованих меж може вказувати на високий ступінь залежності надійності страхової компанії від партнерів по перестрахуванню.</w:t>
      </w:r>
    </w:p>
    <w:p w14:paraId="3003BBEA" w14:textId="77777777" w:rsidR="00004948" w:rsidRDefault="00004948" w:rsidP="00004948">
      <w:pPr>
        <w:pStyle w:val="a4"/>
        <w:spacing w:before="0" w:beforeAutospacing="0" w:after="0" w:afterAutospacing="0"/>
        <w:ind w:firstLine="709"/>
        <w:jc w:val="both"/>
        <w:rPr>
          <w:rFonts w:hAnsi="Times New Roman"/>
          <w:sz w:val="28"/>
          <w:szCs w:val="28"/>
        </w:rPr>
      </w:pPr>
      <w:r>
        <w:rPr>
          <w:rFonts w:hAnsi="Times New Roman"/>
          <w:sz w:val="28"/>
          <w:szCs w:val="28"/>
        </w:rPr>
        <w:t>Показник «Регіональна мережа» характеризує можливості страховика здійснювати страхову діяльність через страхових посередників (страхових агентів і страхових брокерів), а також через відокремлені підрозділи (філії та представництва) [5].</w:t>
      </w:r>
    </w:p>
    <w:p w14:paraId="1A4CBC07" w14:textId="77777777" w:rsidR="00004948" w:rsidRDefault="00004948" w:rsidP="00004948">
      <w:pPr>
        <w:pStyle w:val="a4"/>
        <w:spacing w:before="0" w:beforeAutospacing="0" w:after="0" w:afterAutospacing="0"/>
        <w:ind w:firstLine="709"/>
        <w:jc w:val="both"/>
        <w:rPr>
          <w:rFonts w:hAnsi="Times New Roman"/>
          <w:sz w:val="28"/>
          <w:szCs w:val="28"/>
        </w:rPr>
      </w:pPr>
    </w:p>
    <w:p w14:paraId="41B671C4" w14:textId="77777777" w:rsidR="00F9798C" w:rsidRDefault="00F9798C"/>
    <w:sectPr w:rsidR="00F9798C" w:rsidSect="00A66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3454"/>
    <w:multiLevelType w:val="hybridMultilevel"/>
    <w:tmpl w:val="57000E66"/>
    <w:lvl w:ilvl="0" w:tplc="FFFFFFFF">
      <w:numFmt w:val="bullet"/>
      <w:lvlText w:val=""/>
      <w:lvlJc w:val="left"/>
      <w:pPr>
        <w:ind w:left="1429" w:hanging="360"/>
      </w:pPr>
      <w:rPr>
        <w:rFonts w:ascii="Symbol" w:eastAsia="Times New Roman" w:hAnsi="Symbol" w:cs="Times New Roman" w:hint="default"/>
        <w:color w:val="000000"/>
        <w:sz w:val="22"/>
      </w:rPr>
    </w:lvl>
    <w:lvl w:ilvl="1" w:tplc="04190001">
      <w:start w:val="1"/>
      <w:numFmt w:val="bullet"/>
      <w:lvlText w:val=""/>
      <w:lvlJc w:val="left"/>
      <w:pPr>
        <w:ind w:left="2149" w:hanging="360"/>
      </w:pPr>
      <w:rPr>
        <w:rFonts w:ascii="Symbol" w:hAnsi="Symbol"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15:restartNumberingAfterBreak="0">
    <w:nsid w:val="0D8857D5"/>
    <w:multiLevelType w:val="multilevel"/>
    <w:tmpl w:val="66F67972"/>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14AF346A"/>
    <w:multiLevelType w:val="hybridMultilevel"/>
    <w:tmpl w:val="1E8E7CA2"/>
    <w:lvl w:ilvl="0" w:tplc="04190001">
      <w:start w:val="1"/>
      <w:numFmt w:val="bullet"/>
      <w:lvlText w:val=""/>
      <w:lvlJc w:val="left"/>
      <w:pPr>
        <w:ind w:left="1429" w:hanging="360"/>
      </w:pPr>
      <w:rPr>
        <w:rFonts w:ascii="Symbol" w:hAnsi="Symbol" w:hint="default"/>
      </w:rPr>
    </w:lvl>
    <w:lvl w:ilvl="1" w:tplc="FFFFFFFF">
      <w:numFmt w:val="bullet"/>
      <w:lvlText w:val=""/>
      <w:lvlJc w:val="left"/>
      <w:pPr>
        <w:ind w:left="2149" w:hanging="360"/>
      </w:pPr>
      <w:rPr>
        <w:rFonts w:ascii="Symbol" w:eastAsia="Times New Roman" w:hAnsi="Symbol" w:cs="Times New Roman" w:hint="default"/>
        <w:color w:val="000000"/>
        <w:sz w:val="22"/>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15:restartNumberingAfterBreak="0">
    <w:nsid w:val="1CCD2A26"/>
    <w:multiLevelType w:val="multilevel"/>
    <w:tmpl w:val="819CA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246A9"/>
    <w:multiLevelType w:val="hybridMultilevel"/>
    <w:tmpl w:val="2D14CE6E"/>
    <w:lvl w:ilvl="0" w:tplc="04190001">
      <w:start w:val="1"/>
      <w:numFmt w:val="bullet"/>
      <w:lvlText w:val=""/>
      <w:lvlJc w:val="left"/>
      <w:pPr>
        <w:ind w:left="1429" w:hanging="360"/>
      </w:pPr>
      <w:rPr>
        <w:rFonts w:ascii="Symbol" w:hAnsi="Symbol" w:hint="default"/>
      </w:rPr>
    </w:lvl>
    <w:lvl w:ilvl="1" w:tplc="0060B380">
      <w:start w:val="1"/>
      <w:numFmt w:val="bullet"/>
      <w:lvlText w:val=""/>
      <w:lvlJc w:val="left"/>
      <w:pPr>
        <w:ind w:left="2149" w:hanging="360"/>
      </w:pPr>
      <w:rPr>
        <w:rFonts w:ascii="Symbol" w:hAnsi="Symbo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50D7671"/>
    <w:multiLevelType w:val="multilevel"/>
    <w:tmpl w:val="5398784A"/>
    <w:lvl w:ilvl="0">
      <w:start w:val="4"/>
      <w:numFmt w:val="decimal"/>
      <w:lvlText w:val="%1"/>
      <w:lvlJc w:val="left"/>
      <w:pPr>
        <w:ind w:left="375" w:hanging="375"/>
      </w:pPr>
    </w:lvl>
    <w:lvl w:ilvl="1">
      <w:start w:val="3"/>
      <w:numFmt w:val="decimal"/>
      <w:lvlText w:val="%1.%2"/>
      <w:lvlJc w:val="left"/>
      <w:pPr>
        <w:ind w:left="2735" w:hanging="375"/>
      </w:pPr>
    </w:lvl>
    <w:lvl w:ilvl="2">
      <w:start w:val="1"/>
      <w:numFmt w:val="decimal"/>
      <w:lvlText w:val="%1.%2.%3"/>
      <w:lvlJc w:val="left"/>
      <w:pPr>
        <w:ind w:left="5440" w:hanging="720"/>
      </w:pPr>
    </w:lvl>
    <w:lvl w:ilvl="3">
      <w:start w:val="1"/>
      <w:numFmt w:val="decimal"/>
      <w:lvlText w:val="%1.%2.%3.%4"/>
      <w:lvlJc w:val="left"/>
      <w:pPr>
        <w:ind w:left="8160" w:hanging="1080"/>
      </w:pPr>
    </w:lvl>
    <w:lvl w:ilvl="4">
      <w:start w:val="1"/>
      <w:numFmt w:val="decimal"/>
      <w:lvlText w:val="%1.%2.%3.%4.%5"/>
      <w:lvlJc w:val="left"/>
      <w:pPr>
        <w:ind w:left="10520" w:hanging="1080"/>
      </w:pPr>
    </w:lvl>
    <w:lvl w:ilvl="5">
      <w:start w:val="1"/>
      <w:numFmt w:val="decimal"/>
      <w:lvlText w:val="%1.%2.%3.%4.%5.%6"/>
      <w:lvlJc w:val="left"/>
      <w:pPr>
        <w:ind w:left="13240" w:hanging="1440"/>
      </w:pPr>
    </w:lvl>
    <w:lvl w:ilvl="6">
      <w:start w:val="1"/>
      <w:numFmt w:val="decimal"/>
      <w:lvlText w:val="%1.%2.%3.%4.%5.%6.%7"/>
      <w:lvlJc w:val="left"/>
      <w:pPr>
        <w:ind w:left="15600" w:hanging="1440"/>
      </w:pPr>
    </w:lvl>
    <w:lvl w:ilvl="7">
      <w:start w:val="1"/>
      <w:numFmt w:val="decimal"/>
      <w:lvlText w:val="%1.%2.%3.%4.%5.%6.%7.%8"/>
      <w:lvlJc w:val="left"/>
      <w:pPr>
        <w:ind w:left="18320" w:hanging="1800"/>
      </w:pPr>
    </w:lvl>
    <w:lvl w:ilvl="8">
      <w:start w:val="1"/>
      <w:numFmt w:val="decimal"/>
      <w:lvlText w:val="%1.%2.%3.%4.%5.%6.%7.%8.%9"/>
      <w:lvlJc w:val="left"/>
      <w:pPr>
        <w:ind w:left="21040" w:hanging="2160"/>
      </w:pPr>
    </w:lvl>
  </w:abstractNum>
  <w:abstractNum w:abstractNumId="6" w15:restartNumberingAfterBreak="0">
    <w:nsid w:val="44FA78BB"/>
    <w:multiLevelType w:val="hybridMultilevel"/>
    <w:tmpl w:val="EB4C5C66"/>
    <w:lvl w:ilvl="0" w:tplc="0419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7" w15:restartNumberingAfterBreak="0">
    <w:nsid w:val="50976873"/>
    <w:multiLevelType w:val="hybridMultilevel"/>
    <w:tmpl w:val="B0D43B9A"/>
    <w:lvl w:ilvl="0" w:tplc="FFFFFFFF">
      <w:numFmt w:val="bullet"/>
      <w:lvlText w:val=""/>
      <w:lvlJc w:val="left"/>
      <w:pPr>
        <w:ind w:left="1429" w:hanging="360"/>
      </w:pPr>
      <w:rPr>
        <w:rFonts w:ascii="Symbol" w:eastAsia="Times New Roman" w:hAnsi="Symbol" w:cs="Times New Roman" w:hint="default"/>
        <w:color w:val="000000"/>
        <w:sz w:val="22"/>
      </w:rPr>
    </w:lvl>
    <w:lvl w:ilvl="1" w:tplc="04190001">
      <w:start w:val="1"/>
      <w:numFmt w:val="bullet"/>
      <w:lvlText w:val=""/>
      <w:lvlJc w:val="left"/>
      <w:pPr>
        <w:ind w:left="2149" w:hanging="360"/>
      </w:pPr>
      <w:rPr>
        <w:rFonts w:ascii="Symbol" w:hAnsi="Symbol"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8" w15:restartNumberingAfterBreak="0">
    <w:nsid w:val="6E66060F"/>
    <w:multiLevelType w:val="hybridMultilevel"/>
    <w:tmpl w:val="3D345792"/>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74355E39"/>
    <w:multiLevelType w:val="hybridMultilevel"/>
    <w:tmpl w:val="36D60FB4"/>
    <w:lvl w:ilvl="0" w:tplc="561E34C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48"/>
    <w:rsid w:val="00004948"/>
    <w:rsid w:val="00635BB5"/>
    <w:rsid w:val="00951F79"/>
    <w:rsid w:val="00A66EE8"/>
    <w:rsid w:val="00F9798C"/>
  </w:rsids>
  <m:mathPr>
    <m:mathFont m:val="Cambria Math"/>
    <m:brkBin m:val="before"/>
    <m:brkBinSub m:val="--"/>
    <m:smallFrac m:val="0"/>
    <m:dispDef/>
    <m:lMargin m:val="0"/>
    <m:rMargin m:val="0"/>
    <m:defJc m:val="centerGroup"/>
    <m:wrapIndent m:val="1440"/>
    <m:intLim m:val="subSup"/>
    <m:naryLim m:val="undOvr"/>
  </m:mathPr>
  <w:themeFontLang w:val="ru-RU" w:eastAsia="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08D8"/>
  <w15:chartTrackingRefBased/>
  <w15:docId w15:val="{2FB2E646-189B-44A5-BD07-3DB54074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48"/>
    <w:pPr>
      <w:spacing w:line="25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04948"/>
    <w:rPr>
      <w:b/>
      <w:bCs/>
      <w:color w:val="auto"/>
    </w:rPr>
  </w:style>
  <w:style w:type="paragraph" w:styleId="a4">
    <w:name w:val="Normal (Web)"/>
    <w:basedOn w:val="a"/>
    <w:uiPriority w:val="99"/>
    <w:semiHidden/>
    <w:unhideWhenUsed/>
    <w:rsid w:val="00004948"/>
    <w:pPr>
      <w:spacing w:before="100" w:beforeAutospacing="1" w:after="100" w:afterAutospacing="1" w:line="240" w:lineRule="auto"/>
    </w:pPr>
    <w:rPr>
      <w:rFonts w:ascii="Times New Roman"/>
      <w:sz w:val="24"/>
      <w:szCs w:val="24"/>
    </w:rPr>
  </w:style>
  <w:style w:type="paragraph" w:styleId="a5">
    <w:name w:val="No Spacing"/>
    <w:uiPriority w:val="1"/>
    <w:qFormat/>
    <w:rsid w:val="00004948"/>
    <w:pPr>
      <w:spacing w:after="0" w:line="240" w:lineRule="auto"/>
    </w:pPr>
    <w:rPr>
      <w:rFonts w:ascii="Calibri" w:hAnsi="Calibri"/>
    </w:rPr>
  </w:style>
  <w:style w:type="paragraph" w:styleId="a6">
    <w:name w:val="List Paragraph"/>
    <w:basedOn w:val="a"/>
    <w:uiPriority w:val="34"/>
    <w:qFormat/>
    <w:rsid w:val="00004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10603</Words>
  <Characters>6044</Characters>
  <Application>Microsoft Office Word</Application>
  <DocSecurity>0</DocSecurity>
  <Lines>50</Lines>
  <Paragraphs>33</Paragraphs>
  <ScaleCrop>false</ScaleCrop>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petrovich anatol</dc:creator>
  <cp:keywords/>
  <dc:description/>
  <cp:lastModifiedBy>petrovich anatol</cp:lastModifiedBy>
  <cp:revision>1</cp:revision>
  <dcterms:created xsi:type="dcterms:W3CDTF">2020-09-24T16:06:00Z</dcterms:created>
  <dcterms:modified xsi:type="dcterms:W3CDTF">2020-09-24T16:07:00Z</dcterms:modified>
</cp:coreProperties>
</file>