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32F87" w14:textId="77777777" w:rsidR="00437C00" w:rsidRPr="00AD2CB5" w:rsidRDefault="00437C00" w:rsidP="00437C00">
      <w:pPr>
        <w:pStyle w:val="11"/>
        <w:rPr>
          <w:lang w:val="ru-RU"/>
        </w:rPr>
      </w:pPr>
      <w:bookmarkStart w:id="0" w:name="_Toc201838574"/>
      <w:r w:rsidRPr="00205A40">
        <w:t>5 Курсова робота</w:t>
      </w:r>
      <w:bookmarkEnd w:id="0"/>
    </w:p>
    <w:p w14:paraId="597310F4" w14:textId="77777777" w:rsidR="00437C00" w:rsidRPr="00AD2CB5" w:rsidRDefault="00437C00" w:rsidP="00437C00"/>
    <w:p w14:paraId="2E5E4259" w14:textId="77777777" w:rsidR="00437C00" w:rsidRPr="00205A40" w:rsidRDefault="00437C00" w:rsidP="00437C00">
      <w:pPr>
        <w:pStyle w:val="2"/>
        <w:rPr>
          <w:kern w:val="28"/>
        </w:rPr>
      </w:pPr>
      <w:bookmarkStart w:id="1" w:name="_Toc201838575"/>
      <w:r w:rsidRPr="00205A40">
        <w:rPr>
          <w:kern w:val="28"/>
        </w:rPr>
        <w:t>5.1 Мета курсової роботи</w:t>
      </w:r>
      <w:bookmarkEnd w:id="1"/>
    </w:p>
    <w:p w14:paraId="712424C6" w14:textId="77777777" w:rsidR="00437C00" w:rsidRPr="00AD2CB5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3B4F9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даної курсової роботи є здобуття практичних навиків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енергетичного аудиту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. Завдання на курсову роботу наведено у Додатку А. Студент отримує завдання в залежності від номеру у журналі (25 варіантів завдань наведено у Додатку Б).</w:t>
      </w:r>
    </w:p>
    <w:p w14:paraId="2D625D72" w14:textId="77777777" w:rsidR="00437C00" w:rsidRPr="00AD2CB5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процесі виконання курсової роботи студент повинен здійснити енергетичний аудит одного з учбових корпусів ЗДІА, або одного з двох гуртожитків. </w:t>
      </w:r>
    </w:p>
    <w:p w14:paraId="31A79F9A" w14:textId="77777777" w:rsidR="00437C00" w:rsidRPr="00AD2CB5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2B1D6" w14:textId="77777777" w:rsidR="00437C00" w:rsidRPr="00205A40" w:rsidRDefault="00437C00" w:rsidP="00437C00">
      <w:pPr>
        <w:pStyle w:val="2"/>
        <w:rPr>
          <w:kern w:val="28"/>
        </w:rPr>
      </w:pPr>
      <w:bookmarkStart w:id="2" w:name="_Toc201838576"/>
      <w:r w:rsidRPr="00205A40">
        <w:rPr>
          <w:kern w:val="28"/>
        </w:rPr>
        <w:t>5.2 Вказівки до виконання  роботи</w:t>
      </w:r>
      <w:bookmarkEnd w:id="2"/>
    </w:p>
    <w:p w14:paraId="2A8D1EE2" w14:textId="77777777" w:rsidR="00437C00" w:rsidRPr="00AD2CB5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68A2A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Першим етапом проведення енергетичного аудиту є збір інформації про енергоспоживання об’єкту. При цьому важливим питанням є наявність постійних лічильників на об’єкті. При їх відсутності або нестачі енергоаудитор використовує або переносні лічильники, або розрахункові методи, розглянуті у </w:t>
      </w:r>
      <w:r w:rsidRPr="00205A40">
        <w:rPr>
          <w:rFonts w:ascii="Times New Roman" w:eastAsia="Times New Roman" w:hAnsi="Times New Roman" w:cs="Times New Roman"/>
          <w:sz w:val="28"/>
          <w:szCs w:val="28"/>
        </w:rPr>
        <w:t>[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05A4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. Відносно цього питання відмітимо,  що підрозділи академії мають задовільне забезпечення лічильниками. В кожному корпусі та гуртожитку є лічильники холодної води та електричної енергії. Щодо лічильників гарячої води та теплолічильників опалення, то необхідно відмітити, що учбовий та учбово-лабораторний корпуси мають один загальний ввід, тому вони мають один загальний лічильник на гарячу воду і один теплолічильник. Розбивання  енергоспоживання на теплопостачання  між двома корпусами можна здійснити виходячи з відношення їх об’ємів. Дані всіх постійних лічильників наведено у Додатку Б. Використання переносних лічильників в роботі не передбачено (по причині їх відсутності).</w:t>
      </w:r>
    </w:p>
    <w:p w14:paraId="614F1A5D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виконанні роботи студент спочатку розроблює форму (таблицю), яка крім вихідних даних повинна вміщати приведення всіх видів енергоносіїв до однієї розмірності. Наприклад, споживання гарячої води вимірюється у м</w:t>
      </w:r>
      <w:r w:rsidRPr="00205A4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і його потрібно виразити у </w:t>
      </w:r>
      <w:proofErr w:type="spellStart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ГДж</w:t>
      </w:r>
      <w:proofErr w:type="spellEnd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(або у кВт-год). Для цього необхідно розрахувати кількість енергії, яка витрачається на нагрівання 1 м</w:t>
      </w:r>
      <w:r w:rsidRPr="00205A4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50˚С (середнє підвищення температури за розрахунками підприємств теплових мереж). </w:t>
      </w:r>
    </w:p>
    <w:p w14:paraId="32B348F7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Розроблена форма також повинна включати місячні і річні витрати грошових коштів на кожний вид енергоносія (а також холодну воду). Значення цих витрат розраховують, використовуючи тарифи на енергоносії, наведені у Додатку В (якщо ці дані наведені без врахування 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ПДВ, то їх треба помножити на коефіцієнт 1,2). Тарифи приведені з тією розмірністю, з якою вони подаються у розрахунках з постачальниками, і тому студент повинен привести їх до системи СІ. Приклад можливої форми наведено у Додатку К.</w:t>
      </w:r>
    </w:p>
    <w:p w14:paraId="2302FAC8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розробленої форми студенти будують секторні діаграми структури енергоспоживання в енергетичному та грошовому еквівалентах. На основі цих діаграм проводять попередній аналіз енергоспоживання об’єкту та виявляють області найбільших енерговитрат, яким необхідно надати уваги.</w:t>
      </w:r>
    </w:p>
    <w:p w14:paraId="445B9655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цього розраховують питомі витрати кожного енергоносія для порівняння з нормативними. Державні нормативи енерговитрат на опалення, гаряче водопостачання, електричну енергію згідно з [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], наведені у Додатку Г. Дані про площі будівель, що досліджуються, та кількість студентів і співробітників містяться у Додатку Д. Методика розрахунку нормованого показника ефективності розглянута у [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].</w:t>
      </w:r>
    </w:p>
    <w:p w14:paraId="08A32641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Один з методів аналізу ефективності опалення складається у порівнянні місячних споживань з величинами </w:t>
      </w:r>
      <w:proofErr w:type="spellStart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градусоднів</w:t>
      </w:r>
      <w:proofErr w:type="spellEnd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Наглядно це можна зробити, використовуючи опцію „Графік з двома осями” у </w:t>
      </w:r>
      <w:proofErr w:type="spellStart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майстері</w:t>
      </w:r>
      <w:proofErr w:type="spellEnd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діаграм Microsoft Excel. Середньомісячні температури опалювального періоду наведені у Додатку Ж.</w:t>
      </w:r>
    </w:p>
    <w:p w14:paraId="75FF4A40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Окрім цього студент здійснює огляд об’єкту, що досліджується.</w:t>
      </w:r>
    </w:p>
    <w:p w14:paraId="5DD073C2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Після цього студент проводить аналіз енергоспоживання об’єкту згідно з етапом №3 методики, наведеної у розділі 1 даних методичних вказівок, складає таблицю енергоаудиту. </w:t>
      </w:r>
    </w:p>
    <w:p w14:paraId="20F5B2B8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результатами аналізу складається перелік енергозберігаючих заходів щодо об’єкту, що досліджується. Використовуючи матеріали знайдені в Інтернет, зібрані на виставках, а також розглянуті в різних дисциплінах, які стосуються енергозбереження, студент пропонує від 5 до 10 заходів, </w:t>
      </w:r>
      <w:proofErr w:type="spellStart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яки</w:t>
      </w:r>
      <w:proofErr w:type="spellEnd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дозволять зменшити енергоспоживання об’єкту.</w:t>
      </w:r>
    </w:p>
    <w:p w14:paraId="0CD5FD23" w14:textId="77777777" w:rsidR="00437C00" w:rsidRPr="00205A4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Для декількох заходів студент повинен провести детальне фінансове оцінювання, визначити строк окупності, чисту дисконтовану вартість та внутрішню норму прибутку.</w:t>
      </w:r>
    </w:p>
    <w:p w14:paraId="085CD55A" w14:textId="77777777" w:rsidR="00437C00" w:rsidRPr="00205A40" w:rsidRDefault="00437C00" w:rsidP="00437C00">
      <w:pPr>
        <w:pStyle w:val="2"/>
        <w:rPr>
          <w:kern w:val="28"/>
        </w:rPr>
      </w:pPr>
      <w:bookmarkStart w:id="3" w:name="_Toc201838577"/>
      <w:r w:rsidRPr="00205A40">
        <w:rPr>
          <w:kern w:val="28"/>
        </w:rPr>
        <w:t>5.3 Оформлення пояснювальної записки</w:t>
      </w:r>
      <w:bookmarkEnd w:id="3"/>
    </w:p>
    <w:p w14:paraId="6C71828F" w14:textId="77777777" w:rsidR="00437C00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AA8FE0" w14:textId="77777777" w:rsidR="00437C00" w:rsidRPr="00FD096F" w:rsidRDefault="00437C00" w:rsidP="00437C00">
      <w:pPr>
        <w:overflowPunct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Пояснювальна записка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оформлюється згідно з етапом 6 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наведеної методики та з додержанням </w:t>
      </w:r>
      <w:proofErr w:type="spellStart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держстандарту</w:t>
      </w:r>
      <w:proofErr w:type="spellEnd"/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>, на листах розміру А4.  Пояснювальна записка повинна включати зміст, анотацію, вступ, опис об’єкту, енергоаудит, фінансове оцінювання запропонованих заходів, висновки, додатки.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іаграми та розрахункові таблиці</w:t>
      </w:r>
      <w:r w:rsidRPr="00205A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виконуються з використанням Microsoft Excel. Текст пояснювальної записки може бути виконаний як у Microsoft Word так і у Microsoft Excel.</w:t>
      </w:r>
    </w:p>
    <w:p w14:paraId="3BF4D049" w14:textId="77777777" w:rsidR="00732094" w:rsidRPr="00437C00" w:rsidRDefault="00437C00">
      <w:pPr>
        <w:rPr>
          <w:lang w:val="uk-UA"/>
        </w:rPr>
      </w:pPr>
    </w:p>
    <w:sectPr w:rsidR="00732094" w:rsidRPr="00437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00"/>
    <w:rsid w:val="00307789"/>
    <w:rsid w:val="00437C00"/>
    <w:rsid w:val="0060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AF7E"/>
  <w15:chartTrackingRefBased/>
  <w15:docId w15:val="{42CCAB55-0F54-4F7A-A868-AEE97AD2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0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 старый"/>
    <w:basedOn w:val="1"/>
    <w:link w:val="12"/>
    <w:qFormat/>
    <w:rsid w:val="00437C00"/>
    <w:pPr>
      <w:spacing w:before="480" w:line="240" w:lineRule="auto"/>
      <w:ind w:left="57" w:right="57" w:firstLine="709"/>
      <w:jc w:val="center"/>
    </w:pPr>
    <w:rPr>
      <w:rFonts w:ascii="Arial" w:eastAsia="Times New Roman" w:hAnsi="Arial" w:cs="Arial"/>
      <w:b/>
      <w:bCs/>
      <w:kern w:val="28"/>
      <w:sz w:val="28"/>
      <w:szCs w:val="28"/>
      <w:lang w:val="uk-UA"/>
    </w:rPr>
  </w:style>
  <w:style w:type="character" w:customStyle="1" w:styleId="12">
    <w:name w:val="Заголовок 1 старый Знак"/>
    <w:basedOn w:val="10"/>
    <w:link w:val="11"/>
    <w:rsid w:val="00437C00"/>
    <w:rPr>
      <w:rFonts w:ascii="Arial" w:eastAsia="Times New Roman" w:hAnsi="Arial" w:cs="Arial"/>
      <w:b/>
      <w:bCs/>
      <w:color w:val="2F5496" w:themeColor="accent1" w:themeShade="BF"/>
      <w:kern w:val="28"/>
      <w:sz w:val="28"/>
      <w:szCs w:val="28"/>
      <w:lang w:val="uk-UA" w:eastAsia="ru-RU"/>
    </w:rPr>
  </w:style>
  <w:style w:type="paragraph" w:customStyle="1" w:styleId="2">
    <w:name w:val="Заголовок 2 старый"/>
    <w:basedOn w:val="a"/>
    <w:link w:val="20"/>
    <w:qFormat/>
    <w:rsid w:val="00437C00"/>
    <w:pPr>
      <w:keepNext/>
      <w:overflowPunct w:val="0"/>
      <w:autoSpaceDE w:val="0"/>
      <w:autoSpaceDN w:val="0"/>
      <w:adjustRightInd w:val="0"/>
      <w:spacing w:before="240" w:after="60" w:line="240" w:lineRule="auto"/>
      <w:ind w:firstLine="851"/>
      <w:jc w:val="both"/>
      <w:textAlignment w:val="baseline"/>
      <w:outlineLvl w:val="2"/>
    </w:pPr>
    <w:rPr>
      <w:rFonts w:ascii="Arial" w:eastAsia="Times New Roman" w:hAnsi="Arial" w:cs="Times New Roman"/>
      <w:b/>
      <w:i/>
      <w:sz w:val="28"/>
      <w:szCs w:val="28"/>
      <w:lang w:val="uk-UA"/>
    </w:rPr>
  </w:style>
  <w:style w:type="character" w:customStyle="1" w:styleId="20">
    <w:name w:val="Заголовок 2 старый Знак"/>
    <w:basedOn w:val="a0"/>
    <w:link w:val="2"/>
    <w:rsid w:val="00437C00"/>
    <w:rPr>
      <w:rFonts w:ascii="Arial" w:eastAsia="Times New Roman" w:hAnsi="Arial" w:cs="Times New Roman"/>
      <w:b/>
      <w:i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437C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2020-10-01T18:01:00Z</dcterms:created>
  <dcterms:modified xsi:type="dcterms:W3CDTF">2020-10-01T18:02:00Z</dcterms:modified>
</cp:coreProperties>
</file>