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DF" w:rsidRPr="008277A3" w:rsidRDefault="009B56DF" w:rsidP="009B56DF">
      <w:pPr>
        <w:spacing w:after="0" w:line="240" w:lineRule="auto"/>
        <w:jc w:val="center"/>
        <w:rPr>
          <w:rFonts w:ascii="Times New Roman" w:hAnsi="Times New Roman"/>
          <w:sz w:val="16"/>
          <w:szCs w:val="16"/>
          <w:lang w:val="uk-UA"/>
        </w:rPr>
      </w:pPr>
      <w:r w:rsidRPr="008277A3">
        <w:rPr>
          <w:rFonts w:ascii="Times New Roman" w:hAnsi="Times New Roman"/>
          <w:b/>
          <w:sz w:val="28"/>
          <w:szCs w:val="28"/>
          <w:lang w:val="uk-UA"/>
        </w:rPr>
        <w:t xml:space="preserve">ТЕМА 4. </w:t>
      </w:r>
      <w:r w:rsidRPr="008277A3">
        <w:rPr>
          <w:rFonts w:ascii="Times New Roman" w:eastAsia="Times New Roman" w:hAnsi="Times New Roman"/>
          <w:b/>
          <w:sz w:val="28"/>
          <w:szCs w:val="28"/>
          <w:lang w:val="uk-UA"/>
        </w:rPr>
        <w:t>РИЗИКИ НА ФІНАНСОВОМУ РИНКУ</w:t>
      </w:r>
    </w:p>
    <w:p w:rsidR="009B56DF" w:rsidRPr="008277A3" w:rsidRDefault="009B56DF" w:rsidP="009B56DF">
      <w:pPr>
        <w:spacing w:after="0" w:line="240" w:lineRule="auto"/>
        <w:rPr>
          <w:rFonts w:ascii="Times New Roman" w:hAnsi="Times New Roman"/>
          <w:b/>
          <w:sz w:val="28"/>
          <w:szCs w:val="28"/>
          <w:lang w:val="uk-UA" w:eastAsia="ru-RU"/>
        </w:rPr>
      </w:pP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b/>
          <w:bCs/>
          <w:i/>
          <w:iCs/>
          <w:sz w:val="28"/>
          <w:szCs w:val="28"/>
          <w:lang w:val="uk-UA"/>
        </w:rPr>
        <w:t>Ризик</w:t>
      </w:r>
      <w:r w:rsidRPr="008277A3">
        <w:rPr>
          <w:rFonts w:ascii="Times New Roman" w:hAnsi="Times New Roman"/>
          <w:sz w:val="28"/>
          <w:szCs w:val="28"/>
          <w:lang w:val="uk-UA"/>
        </w:rPr>
        <w:t xml:space="preserve"> – це складне, багатогранне і неосяжне явище. У найбільш широкому розумінні ризиком називають невизначеність стосовно здійснення тієї чи іншої події в майбутньому. Як свідчать сучасні дослідження і спостереження, проблема ризику набуває дедалі більшого суспільного значення, оскільки ризик сприймається вже на рівні чинників сучасного і особливо майбутнього суспільства.</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i/>
          <w:iCs/>
          <w:sz w:val="28"/>
          <w:szCs w:val="28"/>
          <w:lang w:val="uk-UA"/>
        </w:rPr>
        <w:t>Фінансовий ризик</w:t>
      </w:r>
      <w:r w:rsidRPr="008277A3">
        <w:rPr>
          <w:rFonts w:ascii="Times New Roman" w:hAnsi="Times New Roman"/>
          <w:sz w:val="28"/>
          <w:szCs w:val="28"/>
          <w:lang w:val="uk-UA"/>
        </w:rPr>
        <w:t xml:space="preserve"> за своєю природою передбачає невизначеність, тому його оцінка не може бути ідеальною. Будь–який метод оцінювання ризику мас на меті максимальне наближення до реального результату, але не дає змоги зовсім уникнути помилок.</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Одне з перших трактувань підходу до виміру ризику запропонував Мільтон </w:t>
      </w:r>
      <w:proofErr w:type="spellStart"/>
      <w:r w:rsidRPr="008277A3">
        <w:rPr>
          <w:rFonts w:ascii="Times New Roman" w:hAnsi="Times New Roman"/>
          <w:sz w:val="28"/>
          <w:szCs w:val="28"/>
          <w:lang w:val="uk-UA"/>
        </w:rPr>
        <w:t>Фрідмен</w:t>
      </w:r>
      <w:proofErr w:type="spellEnd"/>
      <w:r w:rsidRPr="008277A3">
        <w:rPr>
          <w:rFonts w:ascii="Times New Roman" w:hAnsi="Times New Roman"/>
          <w:sz w:val="28"/>
          <w:szCs w:val="28"/>
          <w:lang w:val="uk-UA"/>
        </w:rPr>
        <w:t xml:space="preserve">. Він розглядав проблему розрахунку (оцінки) рівня ризику крізь призму теорії корисності. </w:t>
      </w:r>
      <w:proofErr w:type="spellStart"/>
      <w:r w:rsidRPr="008277A3">
        <w:rPr>
          <w:rFonts w:ascii="Times New Roman" w:hAnsi="Times New Roman"/>
          <w:sz w:val="28"/>
          <w:szCs w:val="28"/>
          <w:lang w:val="uk-UA"/>
        </w:rPr>
        <w:t>Фрідмен</w:t>
      </w:r>
      <w:proofErr w:type="spellEnd"/>
      <w:r w:rsidRPr="008277A3">
        <w:rPr>
          <w:rFonts w:ascii="Times New Roman" w:hAnsi="Times New Roman"/>
          <w:sz w:val="28"/>
          <w:szCs w:val="28"/>
          <w:lang w:val="uk-UA"/>
        </w:rPr>
        <w:t xml:space="preserve"> зазначав, що в умовах спадної корисності та наявності ризику звичайні принципи максимізації не можуть бути використані, оскільки необхідна певна податкова плата у вигляді компенсації за фактор ризику. Рішення, пов'язані з ризиком, </w:t>
      </w:r>
      <w:proofErr w:type="spellStart"/>
      <w:r w:rsidRPr="008277A3">
        <w:rPr>
          <w:rFonts w:ascii="Times New Roman" w:hAnsi="Times New Roman"/>
          <w:sz w:val="28"/>
          <w:szCs w:val="28"/>
          <w:lang w:val="uk-UA"/>
        </w:rPr>
        <w:t>Фрідмен</w:t>
      </w:r>
      <w:proofErr w:type="spellEnd"/>
      <w:r w:rsidRPr="008277A3">
        <w:rPr>
          <w:rFonts w:ascii="Times New Roman" w:hAnsi="Times New Roman"/>
          <w:sz w:val="28"/>
          <w:szCs w:val="28"/>
          <w:lang w:val="uk-UA"/>
        </w:rPr>
        <w:t xml:space="preserve"> класифікував так:</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невеликий ризик, пов'язаний із заздалегідь відомим результатом;</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помірний ризик без великих доходів і витрат;</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великий ризик, пов'язаний із великими доходами або збитками.</w:t>
      </w:r>
    </w:p>
    <w:p w:rsidR="009B56DF" w:rsidRPr="008277A3" w:rsidRDefault="009B56DF" w:rsidP="009B56DF">
      <w:pPr>
        <w:spacing w:after="0" w:line="240" w:lineRule="auto"/>
        <w:ind w:firstLine="709"/>
        <w:jc w:val="both"/>
        <w:rPr>
          <w:rFonts w:ascii="Times New Roman" w:hAnsi="Times New Roman"/>
          <w:sz w:val="28"/>
          <w:szCs w:val="28"/>
          <w:lang w:val="uk-UA"/>
        </w:rPr>
      </w:pPr>
      <w:proofErr w:type="spellStart"/>
      <w:r w:rsidRPr="008277A3">
        <w:rPr>
          <w:rFonts w:ascii="Times New Roman" w:hAnsi="Times New Roman"/>
          <w:sz w:val="28"/>
          <w:szCs w:val="28"/>
          <w:lang w:val="uk-UA"/>
        </w:rPr>
        <w:t>Фрідмен</w:t>
      </w:r>
      <w:proofErr w:type="spellEnd"/>
      <w:r w:rsidRPr="008277A3">
        <w:rPr>
          <w:rFonts w:ascii="Times New Roman" w:hAnsi="Times New Roman"/>
          <w:sz w:val="28"/>
          <w:szCs w:val="28"/>
          <w:lang w:val="uk-UA"/>
        </w:rPr>
        <w:t xml:space="preserve"> виходив із припущення, що економічна одиниця має певну систему переваг, яка може бути описана функцією, що дає числові значення різним альтернативам.</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Історично першим виник </w:t>
      </w:r>
      <w:r w:rsidRPr="008277A3">
        <w:rPr>
          <w:rFonts w:ascii="Times New Roman" w:hAnsi="Times New Roman"/>
          <w:i/>
          <w:iCs/>
          <w:sz w:val="28"/>
          <w:szCs w:val="28"/>
          <w:lang w:val="uk-UA"/>
        </w:rPr>
        <w:t>метод експертного оцінювання ризику</w:t>
      </w:r>
      <w:r w:rsidRPr="008277A3">
        <w:rPr>
          <w:rFonts w:ascii="Times New Roman" w:hAnsi="Times New Roman"/>
          <w:sz w:val="28"/>
          <w:szCs w:val="28"/>
          <w:lang w:val="uk-UA"/>
        </w:rPr>
        <w:t>. Він має ту істотну перевагу порівняно з іншими методами, що експертне оцінювання може використовуватися в умовах дефіциту і навіть браку інформації. Головна умова досконалого експертного оцінювання – виключення взаємного впливу експертів один на одного (так звана дельфійська процедура). Легкість експертного оцінювання і недостатність інформації про оцінювані процеси сприяли появі в Україні величезної кількості фахівців і спеціалізованих видань, які пропонують розроблені ними прогнози. Не завжди це робиться на достатньо професійному рівні. Необхідно розуміти, що будь–яка, навіть і непрофесійна, оцінка, особливо якщо вона повторюється засобами масової інформації, формує у населення певні сподівання і відповідно впливає на поведінку суб'єктів ринку, а ця справа далеко не безпечна.</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Поведінка експертів в умовах значного браку інформації про об'єкт оцінювання підкоряється певним закономірностям. Оцінка економічних явищ мало залежить від якості існуючих економічних прогнозів і дуже добре корелює з дохідністю, яка може бути реально досягнута на даний момент на ринку за суто об'єктивних, технічних причин. Правильність експертних оцінок в умовах браку інформації може бути формалізована за допомогою такої методики</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lastRenderedPageBreak/>
        <w:t>Правильною вважається оцінка, яка містить конкретне висловлювання щодо подальшої поведінки (наприклад, вартості цінного папера), яке згодом підтвердилося. Ураховуються також оцінки, у формулюванні яких міститься частка невизначеності, двоїстості, які, однак, можна віднести до числа умовно правильних. Такі оцінки враховуються з коефіцієнтом 0,5.</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Результати аналізу показують, що правильність експертних оцінок набагато нижча від 50 %. На базі проведеного за описаною методикою дослідження його автори зробили такі висновки:</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у критичних точках ( закінчення діючого тренду і формування нового) істотно зростає кількість оцінок та прогнозів, що пропонуються;</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різко знижується правильність оцінок;</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у критичних точках суттєво знижується конкретність оцінок аналітиків і переважають розміркування на “загальні теми</w:t>
      </w:r>
      <w:r w:rsidRPr="008277A3">
        <w:rPr>
          <w:rFonts w:ascii="Times New Roman" w:hAnsi="Times New Roman"/>
          <w:bCs/>
          <w:sz w:val="28"/>
          <w:szCs w:val="28"/>
          <w:lang w:val="uk-UA"/>
        </w:rPr>
        <w:t>”</w:t>
      </w:r>
      <w:r w:rsidRPr="008277A3">
        <w:rPr>
          <w:rFonts w:ascii="Times New Roman" w:hAnsi="Times New Roman"/>
          <w:sz w:val="28"/>
          <w:szCs w:val="28"/>
          <w:lang w:val="uk-UA"/>
        </w:rPr>
        <w:t>.</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Отже, в умовах недостатності, нечіткості або просто браку інформації психологічні механізми прийняття ризикованих рішень виходять на перший план. Унаслідок цього ринок зсувається у власну “віртуальну дійсність”, яка відрізняється від реальних ринкових тенденцій. Неточне відображення ринком реального світу стало перепоною при оцінюванні ступеня ризику експертним методом на базі економічних показників.</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Найпопулярніший метод експертного оцінювання ризику ґрунтується на ідеї обговорення проблеми кількома особами, які вважаються спеціалістами у цьому питанні. Проблема, яка виникає при цьому, полягає в тому, що в результаті прийняття рішення ймовірність правильної оцінки знижується. Парадоксальність цього явища випливає із самого процесу обговорення. У переважній більшості випадків погляд експертів–аналітиків відрізняється від погляду практиків. Ця розбіжність може бути формалізована через так званий коефіцієнт розбіжності. Надавши цьому коефіцієнту декількох практичних значень, можна одержати ряд можливих ймовірностей розробки точної оцінки. Загалом спостереження за процесом експертного оцінювання економічних явищ дають змогу зробити такі висновки:</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експертна оцінка та експертний прогноз у будь–якій галузі – особлива сфера людської діяльності, яка вимагає використання спеціальних методів;</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експертний метод оцінювання економічних явищ і процесів так чи інакше пов'язаний з усередненням думок фахівців;</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метод експертного оцінювання спрацьовує тільки на стадіях еволюції системи. Ефект коефіцієнта розбіжностей особливо сильно проявляється у переломні моменти розвитку: відкидаються "зростаючі" елементи, у тому числі нереальні, з точки зору здорового глузду, на час оцінювання ціни фінансових інструментів;</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 найсуттєвіша причина неточності експертних оцінок полягає у системному характері явищ, які відбуваються у світі (у тому числі динаміки фінансових ринків). Експерти, які є фахівцями у вузькій галузі, висловлюються з точки зору ймовірнісного підходу, що побудований на </w:t>
      </w:r>
      <w:r w:rsidRPr="008277A3">
        <w:rPr>
          <w:rFonts w:ascii="Times New Roman" w:hAnsi="Times New Roman"/>
          <w:sz w:val="28"/>
          <w:szCs w:val="28"/>
          <w:lang w:val="uk-UA"/>
        </w:rPr>
        <w:lastRenderedPageBreak/>
        <w:t>принципі незалежності подій. Системний підхід враховує взаємодію елементів системи.</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i/>
          <w:iCs/>
          <w:sz w:val="28"/>
          <w:szCs w:val="28"/>
          <w:lang w:val="uk-UA"/>
        </w:rPr>
        <w:t>Статистичний метод оцінювання ризику</w:t>
      </w:r>
      <w:r w:rsidRPr="008277A3">
        <w:rPr>
          <w:rFonts w:ascii="Times New Roman" w:hAnsi="Times New Roman"/>
          <w:sz w:val="28"/>
          <w:szCs w:val="28"/>
          <w:lang w:val="uk-UA"/>
        </w:rPr>
        <w:t xml:space="preserve"> базується на аналізі коливань досліджуваного показника за певний відрізок часу. Передбачається, що закономірність змін аналізованої величини поширюється на майбутнє. Для тривалих періодів часу це, як правило, виявляється справедливим, але для короткотермінової оцінки екстраполяція колишніх закономірностей дає значні помилки. Отже, проста екстраполяція стратегічних закономірностей не дає можливості реально оцінити ризик.</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Метод оцінювання ризику </w:t>
      </w:r>
      <w:proofErr w:type="spellStart"/>
      <w:r w:rsidRPr="008277A3">
        <w:rPr>
          <w:rFonts w:ascii="Times New Roman" w:hAnsi="Times New Roman"/>
          <w:sz w:val="28"/>
          <w:szCs w:val="28"/>
          <w:lang w:val="uk-UA"/>
        </w:rPr>
        <w:t>Шарпе</w:t>
      </w:r>
      <w:proofErr w:type="spellEnd"/>
      <w:r w:rsidRPr="008277A3">
        <w:rPr>
          <w:rFonts w:ascii="Times New Roman" w:hAnsi="Times New Roman"/>
          <w:sz w:val="28"/>
          <w:szCs w:val="28"/>
          <w:lang w:val="uk-UA"/>
        </w:rPr>
        <w:t xml:space="preserve"> базується на величині очікуваного прибутку, яка враховує статистичні дані про його рівень протягом певного часового тренду. Разом із розподілом ризику несистематичний і несистематичний введення в розрахунок показника очікуваного прибутку було тим революційним досягненням, яке дало змогу В. </w:t>
      </w:r>
      <w:proofErr w:type="spellStart"/>
      <w:r w:rsidRPr="008277A3">
        <w:rPr>
          <w:rFonts w:ascii="Times New Roman" w:hAnsi="Times New Roman"/>
          <w:sz w:val="28"/>
          <w:szCs w:val="28"/>
          <w:lang w:val="uk-UA"/>
        </w:rPr>
        <w:t>Шарпе</w:t>
      </w:r>
      <w:proofErr w:type="spellEnd"/>
      <w:r w:rsidRPr="008277A3">
        <w:rPr>
          <w:rFonts w:ascii="Times New Roman" w:hAnsi="Times New Roman"/>
          <w:sz w:val="28"/>
          <w:szCs w:val="28"/>
          <w:lang w:val="uk-UA"/>
        </w:rPr>
        <w:t xml:space="preserve"> згодом дало одержати звання лауреата Нобелівської премії. За </w:t>
      </w:r>
      <w:proofErr w:type="spellStart"/>
      <w:r w:rsidRPr="008277A3">
        <w:rPr>
          <w:rFonts w:ascii="Times New Roman" w:hAnsi="Times New Roman"/>
          <w:sz w:val="28"/>
          <w:szCs w:val="28"/>
          <w:lang w:val="uk-UA"/>
        </w:rPr>
        <w:t>Шарпе</w:t>
      </w:r>
      <w:proofErr w:type="spellEnd"/>
      <w:r w:rsidRPr="008277A3">
        <w:rPr>
          <w:rFonts w:ascii="Times New Roman" w:hAnsi="Times New Roman"/>
          <w:sz w:val="28"/>
          <w:szCs w:val="28"/>
          <w:lang w:val="uk-UA"/>
        </w:rPr>
        <w:t>, величину очікуваного прибутку визначають, виходячи із середньогалузевої норми дохідності та тенденції розвитку ринку в цілому. Таку інформацію досить легко одержати в країні з розвинутою й стабільно функціонуючою економікою.</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Учасники фінансового ринку України несуть такі </w:t>
      </w:r>
      <w:proofErr w:type="spellStart"/>
      <w:r w:rsidRPr="008277A3">
        <w:rPr>
          <w:rFonts w:ascii="Times New Roman" w:hAnsi="Times New Roman"/>
          <w:sz w:val="28"/>
          <w:szCs w:val="28"/>
          <w:lang w:val="uk-UA"/>
        </w:rPr>
        <w:t>ризики:як</w:t>
      </w:r>
      <w:proofErr w:type="spellEnd"/>
      <w:r w:rsidRPr="008277A3">
        <w:rPr>
          <w:rFonts w:ascii="Times New Roman" w:hAnsi="Times New Roman"/>
          <w:sz w:val="28"/>
          <w:szCs w:val="28"/>
          <w:lang w:val="uk-UA"/>
        </w:rPr>
        <w:t xml:space="preserve"> емітенти;</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як інвестори;</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 xml:space="preserve">за операціями з цінними паперами за дорученням клієнтів чи як андерайтер (якщо виступають як інвестиційний інститут – фінансовий посередник) та дилер </w:t>
      </w:r>
      <w:proofErr w:type="gramStart"/>
      <w:r w:rsidRPr="008277A3">
        <w:rPr>
          <w:rFonts w:ascii="Times New Roman" w:hAnsi="Times New Roman"/>
          <w:sz w:val="28"/>
          <w:szCs w:val="28"/>
          <w:lang w:val="uk-UA"/>
        </w:rPr>
        <w:t>на</w:t>
      </w:r>
      <w:proofErr w:type="gramEnd"/>
      <w:r w:rsidRPr="008277A3">
        <w:rPr>
          <w:rFonts w:ascii="Times New Roman" w:hAnsi="Times New Roman"/>
          <w:sz w:val="28"/>
          <w:szCs w:val="28"/>
          <w:lang w:val="uk-UA"/>
        </w:rPr>
        <w:t xml:space="preserve"> ринку цінних паперів.</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Тому діяльність суб'єктів фінансового ринку потребує особливих портфельних стратегій, спеціально підібраних фінансових інструментів, які б знижували ці ризики.</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i/>
          <w:iCs/>
          <w:sz w:val="28"/>
          <w:szCs w:val="28"/>
          <w:lang w:val="uk-UA"/>
        </w:rPr>
        <w:t>Фінансовими ризиками управляють</w:t>
      </w:r>
      <w:r w:rsidRPr="008277A3">
        <w:rPr>
          <w:rFonts w:ascii="Times New Roman" w:hAnsi="Times New Roman"/>
          <w:sz w:val="28"/>
          <w:szCs w:val="28"/>
          <w:lang w:val="uk-UA"/>
        </w:rPr>
        <w:t xml:space="preserve"> за допомогою різних засобів і способів. Засобами управління фінансових ризиків є їх уникнення, утримання, зниження ступеня. Під уникненням ризику мають розуміють просте уникнення заходу, пов'язаного з ризиком. Однак уникнення ризику для підприємця означає відмову від отримання прибутку. Утримання від ризику – це залишення його за інвестором, тобто на його відповідальність.</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Передача ризику означає, що інвестор передає відповідальність за фінансовий ризик комусь іншому, наприклад, страховому товариству. У даному разі передача ризику відбувається шляхом страхування фінансового ризику.</w:t>
      </w:r>
    </w:p>
    <w:p w:rsidR="009B56DF" w:rsidRPr="008277A3" w:rsidRDefault="009B56DF" w:rsidP="009B56DF">
      <w:pPr>
        <w:tabs>
          <w:tab w:val="right" w:pos="9638"/>
        </w:tabs>
        <w:spacing w:after="0" w:line="240" w:lineRule="auto"/>
        <w:ind w:firstLine="540"/>
        <w:jc w:val="both"/>
        <w:rPr>
          <w:rFonts w:ascii="Times New Roman" w:hAnsi="Times New Roman"/>
          <w:sz w:val="28"/>
          <w:szCs w:val="28"/>
          <w:lang w:val="uk-UA"/>
        </w:rPr>
      </w:pPr>
      <w:r w:rsidRPr="008277A3">
        <w:rPr>
          <w:rFonts w:ascii="Times New Roman" w:hAnsi="Times New Roman"/>
          <w:sz w:val="28"/>
          <w:szCs w:val="28"/>
          <w:lang w:val="uk-UA"/>
        </w:rPr>
        <w:t>Як і будь–який товар, страхова послуга має відповідні властивості (рис.4.1).</w:t>
      </w:r>
    </w:p>
    <w:p w:rsidR="009B56DF" w:rsidRPr="008277A3" w:rsidRDefault="009B56DF" w:rsidP="009B56DF">
      <w:pPr>
        <w:tabs>
          <w:tab w:val="right" w:pos="9638"/>
        </w:tabs>
        <w:spacing w:after="0" w:line="240" w:lineRule="auto"/>
        <w:ind w:firstLine="540"/>
        <w:jc w:val="both"/>
        <w:rPr>
          <w:rFonts w:ascii="Times New Roman" w:hAnsi="Times New Roman"/>
          <w:sz w:val="28"/>
          <w:szCs w:val="28"/>
          <w:lang w:val="uk-UA"/>
        </w:rPr>
      </w:pPr>
      <w:r w:rsidRPr="008277A3">
        <w:rPr>
          <w:rFonts w:ascii="Times New Roman" w:hAnsi="Times New Roman"/>
          <w:i/>
          <w:iCs/>
          <w:sz w:val="28"/>
          <w:szCs w:val="28"/>
          <w:lang w:val="uk-UA"/>
        </w:rPr>
        <w:t>Сутність страхування</w:t>
      </w:r>
      <w:r w:rsidRPr="008277A3">
        <w:rPr>
          <w:rFonts w:ascii="Times New Roman" w:hAnsi="Times New Roman"/>
          <w:sz w:val="28"/>
          <w:szCs w:val="28"/>
          <w:lang w:val="uk-UA"/>
        </w:rPr>
        <w:t xml:space="preserve"> полягає в тому, що інвестор готовий відмовитися від частини прибутків, тільки б уникнути ризику, тобто він готовий заплатити за зниження ступеня ризику до нуля. Фактично, якщо вартість страховки дорівнює можливому збитку, інвестор, не схильний до ризику, захоче застрахуватися так, щоб забезпечити повне відшкодування будь–яких </w:t>
      </w:r>
      <w:r w:rsidRPr="008277A3">
        <w:rPr>
          <w:rFonts w:ascii="Times New Roman" w:hAnsi="Times New Roman"/>
          <w:sz w:val="28"/>
          <w:szCs w:val="28"/>
          <w:lang w:val="uk-UA"/>
        </w:rPr>
        <w:lastRenderedPageBreak/>
        <w:t>фінансових втрат. Страхування фінансових ризиків є одним з найпоширеніших способів його зниження.</w:t>
      </w:r>
    </w:p>
    <w:p w:rsidR="009B56DF" w:rsidRPr="008277A3" w:rsidRDefault="009B56DF" w:rsidP="009B56DF">
      <w:pPr>
        <w:spacing w:after="0" w:line="240" w:lineRule="auto"/>
        <w:ind w:firstLine="708"/>
        <w:jc w:val="both"/>
        <w:rPr>
          <w:rFonts w:ascii="Times New Roman" w:hAnsi="Times New Roman"/>
          <w:sz w:val="28"/>
          <w:szCs w:val="28"/>
          <w:lang w:val="uk-UA"/>
        </w:rPr>
      </w:pPr>
      <w:r w:rsidRPr="008277A3">
        <w:rPr>
          <w:rFonts w:ascii="Times New Roman" w:hAnsi="Times New Roman"/>
          <w:sz w:val="28"/>
          <w:szCs w:val="28"/>
          <w:lang w:val="uk-UA"/>
        </w:rPr>
        <w:t>Ціна страхової послуги коливається під впливом попиту та пропозиції.</w:t>
      </w:r>
    </w:p>
    <w:p w:rsidR="009B56DF" w:rsidRPr="008277A3" w:rsidRDefault="009B56DF" w:rsidP="009B56DF">
      <w:pPr>
        <w:spacing w:after="0" w:line="240" w:lineRule="auto"/>
        <w:jc w:val="both"/>
        <w:rPr>
          <w:rFonts w:ascii="Times New Roman" w:hAnsi="Times New Roman"/>
          <w:bCs/>
          <w:iCs/>
          <w:sz w:val="28"/>
          <w:szCs w:val="28"/>
          <w:lang w:val="uk-UA"/>
        </w:rPr>
      </w:pPr>
      <w:r w:rsidRPr="008277A3">
        <w:rPr>
          <w:rFonts w:ascii="Times New Roman" w:hAnsi="Times New Roman"/>
          <w:szCs w:val="28"/>
          <w:lang w:val="uk-UA"/>
        </w:rPr>
        <w:t xml:space="preserve"> </w:t>
      </w:r>
      <w:r w:rsidRPr="008277A3">
        <w:rPr>
          <w:rFonts w:ascii="Times New Roman" w:hAnsi="Times New Roman"/>
          <w:szCs w:val="28"/>
          <w:lang w:val="uk-UA"/>
        </w:rPr>
        <w:tab/>
      </w:r>
      <w:r w:rsidRPr="008277A3">
        <w:rPr>
          <w:rFonts w:ascii="Times New Roman" w:hAnsi="Times New Roman"/>
          <w:b/>
          <w:bCs/>
          <w:i/>
          <w:iCs/>
          <w:sz w:val="28"/>
          <w:szCs w:val="28"/>
          <w:lang w:val="uk-UA"/>
        </w:rPr>
        <w:t>Страхування</w:t>
      </w:r>
      <w:r w:rsidRPr="008277A3">
        <w:rPr>
          <w:rFonts w:ascii="Times New Roman" w:hAnsi="Times New Roman"/>
          <w:sz w:val="28"/>
          <w:szCs w:val="28"/>
          <w:lang w:val="uk-UA"/>
        </w:rPr>
        <w:t xml:space="preserve"> – це особливі економічні відносини. Для них обов'язкова наявність двох сторін: страховика і страхувальника. Страховик створює за рахунок платежів страхувальника грошовий фонд (страховий чи резервний). Для страхування характерні:</w:t>
      </w:r>
    </w:p>
    <w:p w:rsidR="009B56DF" w:rsidRPr="008277A3" w:rsidRDefault="009B56DF" w:rsidP="009B56DF">
      <w:pPr>
        <w:spacing w:after="0" w:line="240" w:lineRule="auto"/>
        <w:ind w:firstLine="708"/>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 xml:space="preserve">цільове призначення створеного </w:t>
      </w:r>
      <w:proofErr w:type="gramStart"/>
      <w:r w:rsidRPr="008277A3">
        <w:rPr>
          <w:rFonts w:ascii="Times New Roman" w:hAnsi="Times New Roman"/>
          <w:sz w:val="28"/>
          <w:szCs w:val="28"/>
          <w:lang w:val="uk-UA"/>
        </w:rPr>
        <w:t>грошового</w:t>
      </w:r>
      <w:proofErr w:type="gramEnd"/>
      <w:r w:rsidRPr="008277A3">
        <w:rPr>
          <w:rFonts w:ascii="Times New Roman" w:hAnsi="Times New Roman"/>
          <w:sz w:val="28"/>
          <w:szCs w:val="28"/>
          <w:lang w:val="uk-UA"/>
        </w:rPr>
        <w:t xml:space="preserve"> фонду, витрачання його ресурсів тільки на покриття втрат (надання допомоги) в обумовлених випадках;</w:t>
      </w:r>
    </w:p>
    <w:p w:rsidR="009B56DF" w:rsidRPr="008277A3" w:rsidRDefault="009B56DF" w:rsidP="009B56DF">
      <w:pPr>
        <w:spacing w:after="0" w:line="240" w:lineRule="auto"/>
        <w:ind w:firstLine="708"/>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ймовірнісний характер відносин, оскільки заздалегідь невідомо, коли настане відповідальна подія, якою буде її сила і кого із страхувальників вона зачепить;</w:t>
      </w:r>
    </w:p>
    <w:p w:rsidR="009B56DF" w:rsidRPr="008277A3" w:rsidRDefault="009B56DF" w:rsidP="009B56DF">
      <w:pPr>
        <w:spacing w:after="0" w:line="240" w:lineRule="auto"/>
        <w:ind w:firstLine="708"/>
        <w:jc w:val="both"/>
        <w:rPr>
          <w:rFonts w:ascii="Times New Roman" w:hAnsi="Times New Roman"/>
          <w:sz w:val="28"/>
          <w:szCs w:val="28"/>
          <w:lang w:val="uk-UA"/>
        </w:rPr>
      </w:pPr>
      <w:r w:rsidRPr="008277A3">
        <w:rPr>
          <w:rFonts w:ascii="Times New Roman" w:hAnsi="Times New Roman"/>
          <w:sz w:val="28"/>
          <w:szCs w:val="28"/>
        </w:rPr>
        <w:t>– </w:t>
      </w:r>
      <w:proofErr w:type="spellStart"/>
      <w:r w:rsidRPr="008277A3">
        <w:rPr>
          <w:rFonts w:ascii="Times New Roman" w:hAnsi="Times New Roman"/>
          <w:sz w:val="28"/>
          <w:szCs w:val="28"/>
          <w:lang w:val="uk-UA"/>
        </w:rPr>
        <w:t>поверненість</w:t>
      </w:r>
      <w:proofErr w:type="spellEnd"/>
      <w:r w:rsidRPr="008277A3">
        <w:rPr>
          <w:rFonts w:ascii="Times New Roman" w:hAnsi="Times New Roman"/>
          <w:sz w:val="28"/>
          <w:szCs w:val="28"/>
          <w:lang w:val="uk-UA"/>
        </w:rPr>
        <w:t xml:space="preserve"> коштів, тому що ці кошти призначені для виплати відшкодування втрат від усіх страхувальників, а не від </w:t>
      </w:r>
      <w:proofErr w:type="gramStart"/>
      <w:r w:rsidRPr="008277A3">
        <w:rPr>
          <w:rFonts w:ascii="Times New Roman" w:hAnsi="Times New Roman"/>
          <w:sz w:val="28"/>
          <w:szCs w:val="28"/>
          <w:lang w:val="uk-UA"/>
        </w:rPr>
        <w:t>кожного</w:t>
      </w:r>
      <w:proofErr w:type="gramEnd"/>
      <w:r w:rsidRPr="008277A3">
        <w:rPr>
          <w:rFonts w:ascii="Times New Roman" w:hAnsi="Times New Roman"/>
          <w:sz w:val="28"/>
          <w:szCs w:val="28"/>
          <w:lang w:val="uk-UA"/>
        </w:rPr>
        <w:t xml:space="preserve"> окремо.</w:t>
      </w:r>
    </w:p>
    <w:p w:rsidR="009B56DF" w:rsidRPr="008277A3" w:rsidRDefault="009B56DF" w:rsidP="009B56DF">
      <w:pPr>
        <w:tabs>
          <w:tab w:val="right" w:pos="9638"/>
        </w:tabs>
        <w:spacing w:after="0" w:line="240" w:lineRule="auto"/>
        <w:ind w:firstLine="540"/>
        <w:jc w:val="both"/>
        <w:rPr>
          <w:rFonts w:ascii="Times New Roman" w:hAnsi="Times New Roman"/>
          <w:sz w:val="28"/>
          <w:szCs w:val="28"/>
          <w:lang w:val="uk-UA"/>
        </w:rPr>
      </w:pPr>
      <w:r w:rsidRPr="008277A3">
        <w:rPr>
          <w:rFonts w:ascii="Times New Roman" w:hAnsi="Times New Roman"/>
          <w:noProof/>
          <w:sz w:val="28"/>
          <w:szCs w:val="28"/>
          <w:lang w:eastAsia="ru-RU"/>
        </w:rPr>
        <mc:AlternateContent>
          <mc:Choice Requires="wpg">
            <w:drawing>
              <wp:anchor distT="0" distB="0" distL="114300" distR="114300" simplePos="0" relativeHeight="251659264" behindDoc="0" locked="0" layoutInCell="1" allowOverlap="1" wp14:anchorId="7921C7DA" wp14:editId="1FFCFB0C">
                <wp:simplePos x="0" y="0"/>
                <wp:positionH relativeFrom="column">
                  <wp:posOffset>92710</wp:posOffset>
                </wp:positionH>
                <wp:positionV relativeFrom="paragraph">
                  <wp:posOffset>130810</wp:posOffset>
                </wp:positionV>
                <wp:extent cx="5584825" cy="5727700"/>
                <wp:effectExtent l="0" t="0" r="15875" b="25400"/>
                <wp:wrapNone/>
                <wp:docPr id="1" name="Групувати 364"/>
                <wp:cNvGraphicFramePr/>
                <a:graphic xmlns:a="http://schemas.openxmlformats.org/drawingml/2006/main">
                  <a:graphicData uri="http://schemas.microsoft.com/office/word/2010/wordprocessingGroup">
                    <wpg:wgp>
                      <wpg:cNvGrpSpPr/>
                      <wpg:grpSpPr>
                        <a:xfrm>
                          <a:off x="0" y="0"/>
                          <a:ext cx="5584825" cy="5727700"/>
                          <a:chOff x="0" y="0"/>
                          <a:chExt cx="5584825" cy="5727700"/>
                        </a:xfrm>
                      </wpg:grpSpPr>
                      <wps:wsp>
                        <wps:cNvPr id="2" name="Прямоугольник 321"/>
                        <wps:cNvSpPr>
                          <a:spLocks noChangeArrowheads="1"/>
                        </wps:cNvSpPr>
                        <wps:spPr bwMode="auto">
                          <a:xfrm>
                            <a:off x="0" y="4178300"/>
                            <a:ext cx="1897380" cy="1211580"/>
                          </a:xfrm>
                          <a:prstGeom prst="rect">
                            <a:avLst/>
                          </a:prstGeom>
                          <a:solidFill>
                            <a:srgbClr val="FFFFFF"/>
                          </a:solidFill>
                          <a:ln w="9525">
                            <a:solidFill>
                              <a:srgbClr val="000000"/>
                            </a:solidFill>
                            <a:miter lim="800000"/>
                            <a:headEnd/>
                            <a:tailEnd/>
                          </a:ln>
                        </wps:spPr>
                        <wps:txbx>
                          <w:txbxContent>
                            <w:p w:rsidR="009B56DF" w:rsidRPr="00116850" w:rsidRDefault="009B56DF" w:rsidP="009B56DF">
                              <w:pPr>
                                <w:spacing w:line="360" w:lineRule="auto"/>
                                <w:jc w:val="center"/>
                                <w:rPr>
                                  <w:rFonts w:ascii="Times New Roman" w:hAnsi="Times New Roman"/>
                                  <w:sz w:val="24"/>
                                  <w:szCs w:val="24"/>
                                  <w:lang w:val="uk-UA"/>
                                </w:rPr>
                              </w:pPr>
                              <w:r w:rsidRPr="00116850">
                                <w:rPr>
                                  <w:rFonts w:ascii="Times New Roman" w:hAnsi="Times New Roman"/>
                                  <w:sz w:val="24"/>
                                  <w:szCs w:val="24"/>
                                  <w:lang w:val="uk-UA"/>
                                </w:rPr>
                                <w:t xml:space="preserve">Ціна страхової послуги (страховий </w:t>
                              </w:r>
                              <w:proofErr w:type="spellStart"/>
                              <w:r w:rsidRPr="00116850">
                                <w:rPr>
                                  <w:rFonts w:ascii="Times New Roman" w:hAnsi="Times New Roman"/>
                                  <w:sz w:val="24"/>
                                  <w:szCs w:val="24"/>
                                  <w:lang w:val="uk-UA"/>
                                </w:rPr>
                                <w:t>взнос</w:t>
                              </w:r>
                              <w:proofErr w:type="spellEnd"/>
                              <w:r w:rsidRPr="00116850">
                                <w:rPr>
                                  <w:rFonts w:ascii="Times New Roman" w:hAnsi="Times New Roman"/>
                                  <w:sz w:val="24"/>
                                  <w:szCs w:val="24"/>
                                  <w:lang w:val="uk-UA"/>
                                </w:rPr>
                                <w:t>, тариф, премія) забезпечує</w:t>
                              </w:r>
                            </w:p>
                          </w:txbxContent>
                        </wps:txbx>
                        <wps:bodyPr rot="0" vert="horz" wrap="square" lIns="91440" tIns="45720" rIns="91440" bIns="45720" anchor="t" anchorCtr="0" upright="1">
                          <a:noAutofit/>
                        </wps:bodyPr>
                      </wps:wsp>
                      <wpg:grpSp>
                        <wpg:cNvPr id="3" name="Групувати 362"/>
                        <wpg:cNvGrpSpPr/>
                        <wpg:grpSpPr>
                          <a:xfrm>
                            <a:off x="482600" y="0"/>
                            <a:ext cx="5102225" cy="5727700"/>
                            <a:chOff x="0" y="0"/>
                            <a:chExt cx="5102225" cy="5727700"/>
                          </a:xfrm>
                        </wpg:grpSpPr>
                        <wps:wsp>
                          <wps:cNvPr id="4" name="Прямоугольник 322"/>
                          <wps:cNvSpPr>
                            <a:spLocks noChangeArrowheads="1"/>
                          </wps:cNvSpPr>
                          <wps:spPr bwMode="auto">
                            <a:xfrm>
                              <a:off x="2781300" y="3784600"/>
                              <a:ext cx="2162175" cy="426720"/>
                            </a:xfrm>
                            <a:prstGeom prst="rect">
                              <a:avLst/>
                            </a:prstGeom>
                            <a:solidFill>
                              <a:srgbClr val="FFFFFF"/>
                            </a:solidFill>
                            <a:ln w="9525">
                              <a:solidFill>
                                <a:srgbClr val="000000"/>
                              </a:solidFill>
                              <a:miter lim="800000"/>
                              <a:headEnd/>
                              <a:tailEnd/>
                            </a:ln>
                          </wps:spPr>
                          <wps:txbx>
                            <w:txbxContent>
                              <w:p w:rsidR="009B56DF" w:rsidRPr="00116850" w:rsidRDefault="009B56DF" w:rsidP="009B56DF">
                                <w:pPr>
                                  <w:rPr>
                                    <w:rFonts w:ascii="Times New Roman" w:hAnsi="Times New Roman"/>
                                    <w:sz w:val="24"/>
                                    <w:szCs w:val="24"/>
                                    <w:lang w:val="uk-UA"/>
                                  </w:rPr>
                                </w:pPr>
                                <w:r w:rsidRPr="00116850">
                                  <w:rPr>
                                    <w:rFonts w:ascii="Times New Roman" w:hAnsi="Times New Roman"/>
                                    <w:sz w:val="24"/>
                                    <w:szCs w:val="24"/>
                                    <w:lang w:val="uk-UA"/>
                                  </w:rPr>
                                  <w:t>покриття очікуваних претензій</w:t>
                                </w:r>
                              </w:p>
                            </w:txbxContent>
                          </wps:txbx>
                          <wps:bodyPr rot="0" vert="horz" wrap="square" lIns="91440" tIns="45720" rIns="91440" bIns="45720" anchor="t" anchorCtr="0" upright="1">
                            <a:noAutofit/>
                          </wps:bodyPr>
                        </wps:wsp>
                        <wps:wsp>
                          <wps:cNvPr id="5" name="Прямоугольник 155"/>
                          <wps:cNvSpPr>
                            <a:spLocks noChangeArrowheads="1"/>
                          </wps:cNvSpPr>
                          <wps:spPr bwMode="auto">
                            <a:xfrm>
                              <a:off x="2781300" y="4356100"/>
                              <a:ext cx="2162175" cy="438150"/>
                            </a:xfrm>
                            <a:prstGeom prst="rect">
                              <a:avLst/>
                            </a:prstGeom>
                            <a:solidFill>
                              <a:srgbClr val="FFFFFF"/>
                            </a:solidFill>
                            <a:ln w="9525">
                              <a:solidFill>
                                <a:srgbClr val="000000"/>
                              </a:solidFill>
                              <a:miter lim="800000"/>
                              <a:headEnd/>
                              <a:tailEnd/>
                            </a:ln>
                          </wps:spPr>
                          <wps:txbx>
                            <w:txbxContent>
                              <w:p w:rsidR="009B56DF" w:rsidRPr="00116850" w:rsidRDefault="009B56DF" w:rsidP="009B56DF">
                                <w:pPr>
                                  <w:rPr>
                                    <w:rFonts w:ascii="Times New Roman" w:hAnsi="Times New Roman"/>
                                    <w:sz w:val="24"/>
                                    <w:szCs w:val="24"/>
                                    <w:lang w:val="uk-UA"/>
                                  </w:rPr>
                                </w:pPr>
                                <w:r w:rsidRPr="00116850">
                                  <w:rPr>
                                    <w:rFonts w:ascii="Times New Roman" w:hAnsi="Times New Roman"/>
                                    <w:sz w:val="24"/>
                                    <w:szCs w:val="24"/>
                                    <w:lang w:val="uk-UA"/>
                                  </w:rPr>
                                  <w:t>формування страхових резервів</w:t>
                                </w:r>
                              </w:p>
                            </w:txbxContent>
                          </wps:txbx>
                          <wps:bodyPr rot="0" vert="horz" wrap="square" lIns="91440" tIns="45720" rIns="91440" bIns="45720" anchor="t" anchorCtr="0" upright="1">
                            <a:noAutofit/>
                          </wps:bodyPr>
                        </wps:wsp>
                        <wps:wsp>
                          <wps:cNvPr id="6" name="Прямоугольник 156"/>
                          <wps:cNvSpPr>
                            <a:spLocks noChangeArrowheads="1"/>
                          </wps:cNvSpPr>
                          <wps:spPr bwMode="auto">
                            <a:xfrm>
                              <a:off x="2781300" y="4838700"/>
                              <a:ext cx="2162175" cy="409575"/>
                            </a:xfrm>
                            <a:prstGeom prst="rect">
                              <a:avLst/>
                            </a:prstGeom>
                            <a:solidFill>
                              <a:srgbClr val="FFFFFF"/>
                            </a:solidFill>
                            <a:ln w="9525">
                              <a:solidFill>
                                <a:srgbClr val="000000"/>
                              </a:solidFill>
                              <a:miter lim="800000"/>
                              <a:headEnd/>
                              <a:tailEnd/>
                            </a:ln>
                          </wps:spPr>
                          <wps:txbx>
                            <w:txbxContent>
                              <w:p w:rsidR="009B56DF" w:rsidRPr="003E2F71" w:rsidRDefault="009B56DF" w:rsidP="009B56DF">
                                <w:pPr>
                                  <w:rPr>
                                    <w:rFonts w:ascii="Times New Roman" w:hAnsi="Times New Roman"/>
                                    <w:lang w:val="uk-UA"/>
                                  </w:rPr>
                                </w:pPr>
                                <w:r w:rsidRPr="003E2F71">
                                  <w:rPr>
                                    <w:rFonts w:ascii="Times New Roman" w:hAnsi="Times New Roman"/>
                                    <w:lang w:val="uk-UA"/>
                                  </w:rPr>
                                  <w:t xml:space="preserve">покриття витрат страхової компанії </w:t>
                                </w:r>
                              </w:p>
                            </w:txbxContent>
                          </wps:txbx>
                          <wps:bodyPr rot="0" vert="horz" wrap="square" lIns="91440" tIns="45720" rIns="91440" bIns="45720" anchor="t" anchorCtr="0" upright="1">
                            <a:noAutofit/>
                          </wps:bodyPr>
                        </wps:wsp>
                        <wps:wsp>
                          <wps:cNvPr id="7" name="Прямоугольник 320"/>
                          <wps:cNvSpPr>
                            <a:spLocks noChangeArrowheads="1"/>
                          </wps:cNvSpPr>
                          <wps:spPr bwMode="auto">
                            <a:xfrm>
                              <a:off x="2794000" y="5384800"/>
                              <a:ext cx="2162175" cy="342900"/>
                            </a:xfrm>
                            <a:prstGeom prst="rect">
                              <a:avLst/>
                            </a:prstGeom>
                            <a:solidFill>
                              <a:srgbClr val="FFFFFF"/>
                            </a:solidFill>
                            <a:ln w="9525">
                              <a:solidFill>
                                <a:srgbClr val="000000"/>
                              </a:solidFill>
                              <a:miter lim="800000"/>
                              <a:headEnd/>
                              <a:tailEnd/>
                            </a:ln>
                          </wps:spPr>
                          <wps:txbx>
                            <w:txbxContent>
                              <w:p w:rsidR="009B56DF" w:rsidRPr="003E2F71" w:rsidRDefault="009B56DF" w:rsidP="009B56DF">
                                <w:pPr>
                                  <w:rPr>
                                    <w:rFonts w:ascii="Times New Roman" w:hAnsi="Times New Roman"/>
                                    <w:lang w:val="uk-UA"/>
                                  </w:rPr>
                                </w:pPr>
                                <w:r w:rsidRPr="003E2F71">
                                  <w:rPr>
                                    <w:rFonts w:ascii="Times New Roman" w:hAnsi="Times New Roman"/>
                                    <w:lang w:val="uk-UA"/>
                                  </w:rPr>
                                  <w:t xml:space="preserve">забезпечення прибутку </w:t>
                                </w:r>
                              </w:p>
                            </w:txbxContent>
                          </wps:txbx>
                          <wps:bodyPr rot="0" vert="horz" wrap="square" lIns="91440" tIns="45720" rIns="91440" bIns="45720" anchor="t" anchorCtr="0" upright="1">
                            <a:noAutofit/>
                          </wps:bodyPr>
                        </wps:wsp>
                        <wps:wsp>
                          <wps:cNvPr id="9" name="Прямая соединительная линия 325"/>
                          <wps:cNvCnPr>
                            <a:cxnSpLocks noChangeShapeType="1"/>
                          </wps:cNvCnPr>
                          <wps:spPr bwMode="auto">
                            <a:xfrm flipV="1">
                              <a:off x="1422400" y="3975100"/>
                              <a:ext cx="1363980" cy="718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Прямая соединительная линия 157"/>
                          <wps:cNvCnPr>
                            <a:cxnSpLocks noChangeShapeType="1"/>
                          </wps:cNvCnPr>
                          <wps:spPr bwMode="auto">
                            <a:xfrm>
                              <a:off x="1422400" y="4699000"/>
                              <a:ext cx="1371600" cy="899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Прямая соединительная линия 158"/>
                          <wps:cNvCnPr>
                            <a:cxnSpLocks noChangeShapeType="1"/>
                          </wps:cNvCnPr>
                          <wps:spPr bwMode="auto">
                            <a:xfrm flipV="1">
                              <a:off x="1422400" y="4603750"/>
                              <a:ext cx="1371600" cy="90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Прямая соединительная линия 159"/>
                          <wps:cNvCnPr>
                            <a:cxnSpLocks noChangeShapeType="1"/>
                          </wps:cNvCnPr>
                          <wps:spPr bwMode="auto">
                            <a:xfrm>
                              <a:off x="1422400" y="4699000"/>
                              <a:ext cx="1379220" cy="359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Прямоугольник 649"/>
                          <wps:cNvSpPr>
                            <a:spLocks noChangeArrowheads="1"/>
                          </wps:cNvSpPr>
                          <wps:spPr bwMode="auto">
                            <a:xfrm>
                              <a:off x="1498600" y="0"/>
                              <a:ext cx="2057400" cy="342900"/>
                            </a:xfrm>
                            <a:prstGeom prst="rect">
                              <a:avLst/>
                            </a:prstGeom>
                            <a:solidFill>
                              <a:srgbClr val="FFFFFF"/>
                            </a:solidFill>
                            <a:ln w="12700">
                              <a:solidFill>
                                <a:srgbClr val="000000"/>
                              </a:solidFill>
                              <a:miter lim="800000"/>
                              <a:headEnd/>
                              <a:tailEnd/>
                            </a:ln>
                          </wps:spPr>
                          <wps:txbx>
                            <w:txbxContent>
                              <w:p w:rsidR="009B56DF" w:rsidRPr="003E2F71" w:rsidRDefault="009B56DF" w:rsidP="009B56DF">
                                <w:pPr>
                                  <w:jc w:val="center"/>
                                  <w:rPr>
                                    <w:rFonts w:ascii="Times New Roman" w:hAnsi="Times New Roman"/>
                                    <w:sz w:val="24"/>
                                    <w:szCs w:val="24"/>
                                    <w:lang w:val="uk-UA"/>
                                  </w:rPr>
                                </w:pPr>
                                <w:r w:rsidRPr="003E2F71">
                                  <w:rPr>
                                    <w:rFonts w:ascii="Times New Roman" w:hAnsi="Times New Roman"/>
                                    <w:sz w:val="24"/>
                                    <w:szCs w:val="24"/>
                                    <w:lang w:val="uk-UA"/>
                                  </w:rPr>
                                  <w:t>Страхова послуга</w:t>
                                </w:r>
                              </w:p>
                            </w:txbxContent>
                          </wps:txbx>
                          <wps:bodyPr rot="0" vert="horz" wrap="square" lIns="91440" tIns="45720" rIns="91440" bIns="45720" anchor="t" anchorCtr="0" upright="1">
                            <a:noAutofit/>
                          </wps:bodyPr>
                        </wps:wsp>
                        <wps:wsp>
                          <wps:cNvPr id="19" name="Прямоугольник 650"/>
                          <wps:cNvSpPr>
                            <a:spLocks noChangeArrowheads="1"/>
                          </wps:cNvSpPr>
                          <wps:spPr bwMode="auto">
                            <a:xfrm>
                              <a:off x="190500" y="1028700"/>
                              <a:ext cx="1790700" cy="342900"/>
                            </a:xfrm>
                            <a:prstGeom prst="rect">
                              <a:avLst/>
                            </a:prstGeom>
                            <a:solidFill>
                              <a:srgbClr val="FFFFFF"/>
                            </a:solidFill>
                            <a:ln w="12700">
                              <a:solidFill>
                                <a:srgbClr val="000000"/>
                              </a:solidFill>
                              <a:miter lim="800000"/>
                              <a:headEnd/>
                              <a:tailEnd/>
                            </a:ln>
                          </wps:spPr>
                          <wps:txbx>
                            <w:txbxContent>
                              <w:p w:rsidR="009B56DF" w:rsidRPr="003E2F71" w:rsidRDefault="009B56DF" w:rsidP="009B56DF">
                                <w:pPr>
                                  <w:jc w:val="center"/>
                                  <w:rPr>
                                    <w:rFonts w:ascii="Times New Roman" w:hAnsi="Times New Roman"/>
                                    <w:sz w:val="24"/>
                                    <w:szCs w:val="24"/>
                                    <w:lang w:val="uk-UA"/>
                                  </w:rPr>
                                </w:pPr>
                                <w:r w:rsidRPr="003E2F71">
                                  <w:rPr>
                                    <w:rFonts w:ascii="Times New Roman" w:hAnsi="Times New Roman"/>
                                    <w:sz w:val="24"/>
                                    <w:szCs w:val="24"/>
                                    <w:lang w:val="uk-UA"/>
                                  </w:rPr>
                                  <w:t xml:space="preserve">Споживча вартість </w:t>
                                </w:r>
                              </w:p>
                            </w:txbxContent>
                          </wps:txbx>
                          <wps:bodyPr rot="0" vert="horz" wrap="square" lIns="91440" tIns="45720" rIns="91440" bIns="45720" anchor="t" anchorCtr="0" upright="1">
                            <a:noAutofit/>
                          </wps:bodyPr>
                        </wps:wsp>
                        <wps:wsp>
                          <wps:cNvPr id="20" name="Прямоугольник 651"/>
                          <wps:cNvSpPr>
                            <a:spLocks noChangeArrowheads="1"/>
                          </wps:cNvSpPr>
                          <wps:spPr bwMode="auto">
                            <a:xfrm>
                              <a:off x="3187700" y="876300"/>
                              <a:ext cx="1914525" cy="342900"/>
                            </a:xfrm>
                            <a:prstGeom prst="rect">
                              <a:avLst/>
                            </a:prstGeom>
                            <a:solidFill>
                              <a:srgbClr val="FFFFFF"/>
                            </a:solidFill>
                            <a:ln w="12700">
                              <a:solidFill>
                                <a:srgbClr val="000000"/>
                              </a:solidFill>
                              <a:miter lim="800000"/>
                              <a:headEnd/>
                              <a:tailEnd/>
                            </a:ln>
                          </wps:spPr>
                          <wps:txbx>
                            <w:txbxContent>
                              <w:p w:rsidR="009B56DF" w:rsidRPr="003E2F71" w:rsidRDefault="009B56DF" w:rsidP="009B56DF">
                                <w:pPr>
                                  <w:jc w:val="center"/>
                                  <w:rPr>
                                    <w:rFonts w:ascii="Times New Roman" w:hAnsi="Times New Roman"/>
                                    <w:sz w:val="24"/>
                                    <w:szCs w:val="24"/>
                                    <w:lang w:val="uk-UA"/>
                                  </w:rPr>
                                </w:pPr>
                                <w:r w:rsidRPr="003E2F71">
                                  <w:rPr>
                                    <w:rFonts w:ascii="Times New Roman" w:hAnsi="Times New Roman"/>
                                    <w:sz w:val="24"/>
                                    <w:szCs w:val="24"/>
                                    <w:lang w:val="uk-UA"/>
                                  </w:rPr>
                                  <w:t>Вартість (ціна)</w:t>
                                </w:r>
                              </w:p>
                            </w:txbxContent>
                          </wps:txbx>
                          <wps:bodyPr rot="0" vert="horz" wrap="square" lIns="91440" tIns="45720" rIns="91440" bIns="45720" anchor="t" anchorCtr="0" upright="1">
                            <a:noAutofit/>
                          </wps:bodyPr>
                        </wps:wsp>
                        <wps:wsp>
                          <wps:cNvPr id="21" name="Прямая соединительная линия 652"/>
                          <wps:cNvCnPr>
                            <a:cxnSpLocks noChangeShapeType="1"/>
                          </wps:cNvCnPr>
                          <wps:spPr bwMode="auto">
                            <a:xfrm flipH="1">
                              <a:off x="1016000" y="368300"/>
                              <a:ext cx="1285240" cy="657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Прямая соединительная линия 653"/>
                          <wps:cNvCnPr>
                            <a:cxnSpLocks noChangeShapeType="1"/>
                          </wps:cNvCnPr>
                          <wps:spPr bwMode="auto">
                            <a:xfrm>
                              <a:off x="2311400" y="342900"/>
                              <a:ext cx="1757363" cy="528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Прямоугольник: скругленные углы 644"/>
                          <wps:cNvSpPr>
                            <a:spLocks noChangeArrowheads="1"/>
                          </wps:cNvSpPr>
                          <wps:spPr bwMode="auto">
                            <a:xfrm>
                              <a:off x="0" y="1879600"/>
                              <a:ext cx="1876425" cy="1028700"/>
                            </a:xfrm>
                            <a:prstGeom prst="roundRect">
                              <a:avLst>
                                <a:gd name="adj" fmla="val 36458"/>
                              </a:avLst>
                            </a:prstGeom>
                            <a:solidFill>
                              <a:srgbClr val="FFFFFF"/>
                            </a:solidFill>
                            <a:ln w="9525">
                              <a:solidFill>
                                <a:srgbClr val="000000"/>
                              </a:solidFill>
                              <a:round/>
                              <a:headEnd/>
                              <a:tailEnd/>
                            </a:ln>
                          </wps:spPr>
                          <wps:txbx>
                            <w:txbxContent>
                              <w:p w:rsidR="009B56DF" w:rsidRPr="00116850" w:rsidRDefault="009B56DF" w:rsidP="009B56DF">
                                <w:pPr>
                                  <w:spacing w:line="360" w:lineRule="auto"/>
                                  <w:jc w:val="center"/>
                                  <w:rPr>
                                    <w:rFonts w:ascii="Times New Roman" w:hAnsi="Times New Roman"/>
                                    <w:iCs/>
                                    <w:sz w:val="24"/>
                                    <w:lang w:val="uk-UA"/>
                                  </w:rPr>
                                </w:pPr>
                                <w:r w:rsidRPr="00116850">
                                  <w:rPr>
                                    <w:rFonts w:ascii="Times New Roman" w:hAnsi="Times New Roman"/>
                                    <w:iCs/>
                                    <w:sz w:val="24"/>
                                    <w:lang w:val="uk-UA"/>
                                  </w:rPr>
                                  <w:t>Споживча вартість забезпечує страховий захист у формі</w:t>
                                </w:r>
                              </w:p>
                            </w:txbxContent>
                          </wps:txbx>
                          <wps:bodyPr rot="0" vert="horz" wrap="square" lIns="91440" tIns="45720" rIns="91440" bIns="45720" anchor="t" anchorCtr="0" upright="1">
                            <a:noAutofit/>
                          </wps:bodyPr>
                        </wps:wsp>
                        <wps:wsp>
                          <wps:cNvPr id="24" name="Прямоугольник: скругленные углы 648"/>
                          <wps:cNvSpPr>
                            <a:spLocks noChangeArrowheads="1"/>
                          </wps:cNvSpPr>
                          <wps:spPr bwMode="auto">
                            <a:xfrm>
                              <a:off x="3187700" y="1612900"/>
                              <a:ext cx="1838325" cy="981075"/>
                            </a:xfrm>
                            <a:prstGeom prst="roundRect">
                              <a:avLst>
                                <a:gd name="adj" fmla="val 36458"/>
                              </a:avLst>
                            </a:prstGeom>
                            <a:solidFill>
                              <a:srgbClr val="FFFFFF"/>
                            </a:solidFill>
                            <a:ln w="9525">
                              <a:solidFill>
                                <a:srgbClr val="000000"/>
                              </a:solidFill>
                              <a:round/>
                              <a:headEnd/>
                              <a:tailEnd/>
                            </a:ln>
                          </wps:spPr>
                          <wps:txbx>
                            <w:txbxContent>
                              <w:p w:rsidR="009B56DF" w:rsidRPr="003E2F71" w:rsidRDefault="009B56DF" w:rsidP="009B56DF">
                                <w:pPr>
                                  <w:tabs>
                                    <w:tab w:val="left" w:pos="4620"/>
                                    <w:tab w:val="left" w:pos="6030"/>
                                  </w:tabs>
                                  <w:jc w:val="center"/>
                                  <w:rPr>
                                    <w:rFonts w:ascii="Times New Roman" w:hAnsi="Times New Roman"/>
                                    <w:bCs/>
                                    <w:iCs/>
                                    <w:lang w:val="uk-UA"/>
                                  </w:rPr>
                                </w:pPr>
                                <w:r w:rsidRPr="003E2F71">
                                  <w:rPr>
                                    <w:rFonts w:ascii="Times New Roman" w:hAnsi="Times New Roman"/>
                                    <w:bCs/>
                                    <w:iCs/>
                                    <w:lang w:val="uk-UA"/>
                                  </w:rPr>
                                  <w:t>страхового відшкодування збитків потерпілих на умовах договору страхування</w:t>
                                </w:r>
                              </w:p>
                            </w:txbxContent>
                          </wps:txbx>
                          <wps:bodyPr rot="0" vert="horz" wrap="square" lIns="91440" tIns="45720" rIns="91440" bIns="45720" anchor="t" anchorCtr="0" upright="1">
                            <a:noAutofit/>
                          </wps:bodyPr>
                        </wps:wsp>
                        <wps:wsp>
                          <wps:cNvPr id="25" name="Прямоугольник: скругленные углы 646"/>
                          <wps:cNvSpPr>
                            <a:spLocks noChangeArrowheads="1"/>
                          </wps:cNvSpPr>
                          <wps:spPr bwMode="auto">
                            <a:xfrm>
                              <a:off x="3111500" y="2705100"/>
                              <a:ext cx="1914525" cy="942975"/>
                            </a:xfrm>
                            <a:prstGeom prst="roundRect">
                              <a:avLst>
                                <a:gd name="adj" fmla="val 36458"/>
                              </a:avLst>
                            </a:prstGeom>
                            <a:solidFill>
                              <a:srgbClr val="FFFFFF"/>
                            </a:solidFill>
                            <a:ln w="9525">
                              <a:solidFill>
                                <a:srgbClr val="000000"/>
                              </a:solidFill>
                              <a:round/>
                              <a:headEnd/>
                              <a:tailEnd/>
                            </a:ln>
                          </wps:spPr>
                          <wps:txbx>
                            <w:txbxContent>
                              <w:p w:rsidR="009B56DF" w:rsidRPr="003E2F71" w:rsidRDefault="009B56DF" w:rsidP="009B56DF">
                                <w:pPr>
                                  <w:tabs>
                                    <w:tab w:val="left" w:pos="4620"/>
                                    <w:tab w:val="left" w:pos="6030"/>
                                  </w:tabs>
                                  <w:spacing w:after="0" w:line="360" w:lineRule="auto"/>
                                  <w:jc w:val="center"/>
                                  <w:rPr>
                                    <w:rFonts w:ascii="Times New Roman" w:hAnsi="Times New Roman"/>
                                    <w:bCs/>
                                    <w:iCs/>
                                    <w:lang w:val="uk-UA"/>
                                  </w:rPr>
                                </w:pPr>
                                <w:r w:rsidRPr="003E2F71">
                                  <w:rPr>
                                    <w:rFonts w:ascii="Times New Roman" w:hAnsi="Times New Roman"/>
                                    <w:bCs/>
                                    <w:iCs/>
                                    <w:lang w:val="uk-UA"/>
                                  </w:rPr>
                                  <w:t>страхового</w:t>
                                </w:r>
                              </w:p>
                              <w:p w:rsidR="009B56DF" w:rsidRPr="003E2F71" w:rsidRDefault="009B56DF" w:rsidP="009B56DF">
                                <w:pPr>
                                  <w:tabs>
                                    <w:tab w:val="left" w:pos="4620"/>
                                    <w:tab w:val="left" w:pos="6030"/>
                                  </w:tabs>
                                  <w:spacing w:after="0" w:line="360" w:lineRule="auto"/>
                                  <w:jc w:val="center"/>
                                  <w:rPr>
                                    <w:rFonts w:ascii="Times New Roman" w:hAnsi="Times New Roman"/>
                                    <w:bCs/>
                                    <w:iCs/>
                                    <w:lang w:val="uk-UA"/>
                                  </w:rPr>
                                </w:pPr>
                                <w:r w:rsidRPr="003E2F71">
                                  <w:rPr>
                                    <w:rFonts w:ascii="Times New Roman" w:hAnsi="Times New Roman"/>
                                    <w:bCs/>
                                    <w:iCs/>
                                    <w:lang w:val="uk-UA"/>
                                  </w:rPr>
                                  <w:t>забезпечення у страхуванні життя</w:t>
                                </w:r>
                              </w:p>
                            </w:txbxContent>
                          </wps:txbx>
                          <wps:bodyPr rot="0" vert="horz" wrap="square" lIns="91440" tIns="45720" rIns="91440" bIns="45720" anchor="t" anchorCtr="0" upright="1">
                            <a:noAutofit/>
                          </wps:bodyPr>
                        </wps:wsp>
                        <wps:wsp>
                          <wps:cNvPr id="468544544" name="Прямая соединительная линия 647"/>
                          <wps:cNvCnPr>
                            <a:cxnSpLocks noChangeShapeType="1"/>
                          </wps:cNvCnPr>
                          <wps:spPr bwMode="auto">
                            <a:xfrm flipV="1">
                              <a:off x="1879600" y="2000250"/>
                              <a:ext cx="1309053"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8544545" name="Прямая соединительная линия 645"/>
                          <wps:cNvCnPr>
                            <a:cxnSpLocks noChangeShapeType="1"/>
                          </wps:cNvCnPr>
                          <wps:spPr bwMode="auto">
                            <a:xfrm>
                              <a:off x="1879600" y="2578100"/>
                              <a:ext cx="1223645" cy="56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Групувати 364" o:spid="_x0000_s1026" style="position:absolute;left:0;text-align:left;margin-left:7.3pt;margin-top:10.3pt;width:439.75pt;height:451pt;z-index:251659264" coordsize="55848,5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COZgcAACo8AAAOAAAAZHJzL2Uyb0RvYy54bWzsW9tu20YQfS/Qf1jw3RF3eSciB4FkpwXS&#10;NmjSvtMkJbHlrSRtyS0K9PKYAnnoB/QXgqYGgqRJf4H6o87ukmta1MVyI6WBaSQ2KZKr3dkzu3PO&#10;DO/em0UhOvOzPEjivoTvyBLyYzfxgnjcl756cnxgSigvnNhzwiT2+9K5n0v3Dj/+6O40tX2STJLQ&#10;8zMEjcS5PU370qQoUrvXy92JHzn5nST1Y7g4SrLIKeA0G/e8zJlC61HYI7Ks96ZJ5qVZ4vp5Dp8O&#10;+UXpkLU/Gvlu8cVolPsFCvsS9K1gvzP2+4T+7h3edexx5qSTwK264dygF5ETxPCloqmhUzjoNAta&#10;TUWBmyV5MiruuEnUS0ajwPXZGGA0WF4YzYMsOU3ZWMb2dJwKM4FpF+x042bdz88eZSjwYO4kFDsR&#10;TFH5+/yn+a/lP/D/z/L5/JfyJVJ0lVpqmo5teOBBlj5OH2XVB2N+Rgc/G2UR/QvDQjNm43NhY39W&#10;IBc+1DRTNYkmIReuaQYxDLmaBXcCU9V6zp0cbXiyV39xj/ZPdGeaAqLyS6Pl/81ojydO6rO5yKkN&#10;KqMRYbQ/wGjPyr/Lt2C2F+Xb8vX8t/JN+bJ8hRSCufHYg9Ry1EZ5+jBxv81RnAwmTjz272dZMp34&#10;jgf9ZPfDaBoP0JMcHkUn088SD2bJOS0ShrilRlexYSq1YWvTY9MyFBO8gJoeE4w1OIFZFAZ07DTL&#10;iwd+EiF60Jcy8B/2Jc7Zw7zgt9a3sEEkYeAdB2HITrLxySDM0JkDvnbMfqrW8+ZtYYymfcnSAAPr&#10;m5DZz7ImoqCARSMMor5kipscm1rvKPagm45dOEHIj2F0YQyDrC1IYZzbxexkxgCc2yeJdw6GzRK+&#10;OMBiBgeTJPteQlNYGPpS/t2pk/kSCj+NYXIsrKp0JWEnKiAYTrLmlZPmFSd2oam+VEiIHw4Kvvqc&#10;plkwnsA3YWaGOLkPEzoKmJFpB3mvqn4Djrn3MXQLR6xAqAgQLvNcwsG3leeCh+qAHrTEfbFMyM3c&#10;d8WTAn3vwX1VYbl17ltZsOGNu3NfYpiYOi41vWKYKp0GBujaiQnWCTaq9VMlOsUfd8x6Iagd9Fb4&#10;cLV1fXCuvIe9CTBSbeirwY01jS8Pewe3qmg6Xg9uxcRaB26x+nw4+9QewK1fC9z6+wK3qZgirl2+&#10;csuWBqv4bV+5lXqCOnA3WIVxDXArfN+noSLQkV2zCmJYKkTaLCzRFGBwa1duRSUWv0EEd7eMWrCw&#10;pOLMdSz/ITCMPazcVgvcz+fP0Pxn4MwX5V/AmIE1g+hwUTFoerF8XX38DMh0M2AZxJxMu7P48QKf&#10;Znz9yXkKVPkKneaP1GRwOZ1GozBIv66pWaVmYJUQ8AEemVuG1gpesKIrVk2vDWyamyLzMIipouDY&#10;K9h1nFBqzaL/d0CaQUuquPESnowKZqkiC0CLCIHrAkWPfA84rw+yHj3iOxVl0o4NOxrIAdURl7l+&#10;sGTryDwy1QPgJEcHqjwcHtw/HqgH+jGwlaEyHAyG+Ec6Wqzak8Dz/JgOrpbcsHo9daYS/7hYJkQ3&#10;Yaje1daZtAGdrf+yTi8IAXzjoaOjmKiI9h7cALfD8238AGtGvXXC8r8jP6AzvAT9qm7B8r7AS7Fi&#10;YKYZUHHJtCw4WR/ddOi/zehvx+/bod/cPfo37gIgzigGZ6hsTWT69hU/sGRsdG7QbQLxeHn6ALcj&#10;/e3cwNq9G2y5CViECuJ0E1A0S8Ud+jv0r0Q/5IY3KpS62sT4rnkuVi1zReaDyJrB4n+G7ffKcDGh&#10;4hJ1zCuZtbyZgGN5sdr7rtz2jrJnjOIKMtbpNw39Brc5bjstrPPIYU8CDrZkrSKvkIdri5PYsGQK&#10;Kr5yd+hm6BbycYfuBrrp/r552db2WfSgYJPVkdCsqWno7coHSNrTgoMO3bzygaFbCAgdupvovqyD&#10;qtOm24TkuibydbvTZRgz/WRRn5Sp/lLpk/qS6h9iaiBgch/QoW6FK6mrFfpOoLnFAg1pV7Zt5wYi&#10;s7c7N2gwU6JgLMR5Eb00VBlDM0Ce5+DXiKkrbPXrwN9p88uqOi8r6uo9oBW/2zRl9YpVyr6A/NQF&#10;pK3ezJ+WF4jVf76eP0W6KhKAe8jQ8oUf4iCrVTIGH+pqHf00ov/V6Ge5oi+vFH9SZxt7VeDneN9I&#10;aBSFUCoN1Z60PFhjgiy0yHJZLOFS16Gt56k7LRRdm/O6zGgtpIRobSiLkITI3EVIzQjpGlWT1/EO&#10;Yd09eEeTIGAd1+UJjQ0CKnZobpkxBMvE8sbiHJpO7VxEiHOdizRdpJ3cvdEGIgSIvbgIvBBQ8QfQ&#10;F5fUNzRJtAVBVucim94wYLsIz4FQna/zkYaPqLqpqSr8a6lJWxENVcgYuyMayzPBVahFNSd4E00m&#10;7UywDKJrxTmg2hlE164ioqsHWpEKrt2hvXNs5w4iI7M7d2jw7ppvMCfQ4N0V2EBYwVpd9IwJoeyg&#10;It463rhpdKrT/1N1unw7i5XKsRdSGc2rXp6lb7w2z9ldl6/4Hv4LAAD//wMAUEsDBBQABgAIAAAA&#10;IQD78XW54AAAAAkBAAAPAAAAZHJzL2Rvd25yZXYueG1sTI9BS8NAEIXvgv9hGcGb3STW0KbZlFLU&#10;UxFsBeltm50modnZkN0m6b93POlpeLzHm+/l68m2YsDeN44UxLMIBFLpTEOVgq/D29MChA+ajG4d&#10;oYIbelgX93e5zowb6ROHfagEl5DPtII6hC6T0pc1Wu1nrkNi7+x6qwPLvpKm1yOX21YmUZRKqxvi&#10;D7XucFtjedlfrYL3UY+b5/h12F3O29vx8PLxvYtRqceHabMCEXAKf2H4xWd0KJjp5K5kvGhZz1NO&#10;KkgivuwvlvMYxEnBMklSkEUu/y8ofgAAAP//AwBQSwECLQAUAAYACAAAACEAtoM4kv4AAADhAQAA&#10;EwAAAAAAAAAAAAAAAAAAAAAAW0NvbnRlbnRfVHlwZXNdLnhtbFBLAQItABQABgAIAAAAIQA4/SH/&#10;1gAAAJQBAAALAAAAAAAAAAAAAAAAAC8BAABfcmVscy8ucmVsc1BLAQItABQABgAIAAAAIQBNyQCO&#10;ZgcAACo8AAAOAAAAAAAAAAAAAAAAAC4CAABkcnMvZTJvRG9jLnhtbFBLAQItABQABgAIAAAAIQD7&#10;8XW54AAAAAkBAAAPAAAAAAAAAAAAAAAAAMAJAABkcnMvZG93bnJldi54bWxQSwUGAAAAAAQABADz&#10;AAAAzQoAAAAA&#10;">
                <v:rect id="Прямоугольник 321" o:spid="_x0000_s1027" style="position:absolute;top:41783;width:18973;height:1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9B56DF" w:rsidRPr="00116850" w:rsidRDefault="009B56DF" w:rsidP="009B56DF">
                        <w:pPr>
                          <w:spacing w:line="360" w:lineRule="auto"/>
                          <w:jc w:val="center"/>
                          <w:rPr>
                            <w:rFonts w:ascii="Times New Roman" w:hAnsi="Times New Roman"/>
                            <w:sz w:val="24"/>
                            <w:szCs w:val="24"/>
                            <w:lang w:val="uk-UA"/>
                          </w:rPr>
                        </w:pPr>
                        <w:r w:rsidRPr="00116850">
                          <w:rPr>
                            <w:rFonts w:ascii="Times New Roman" w:hAnsi="Times New Roman"/>
                            <w:sz w:val="24"/>
                            <w:szCs w:val="24"/>
                            <w:lang w:val="uk-UA"/>
                          </w:rPr>
                          <w:t xml:space="preserve">Ціна страхової послуги (страховий </w:t>
                        </w:r>
                        <w:proofErr w:type="spellStart"/>
                        <w:r w:rsidRPr="00116850">
                          <w:rPr>
                            <w:rFonts w:ascii="Times New Roman" w:hAnsi="Times New Roman"/>
                            <w:sz w:val="24"/>
                            <w:szCs w:val="24"/>
                            <w:lang w:val="uk-UA"/>
                          </w:rPr>
                          <w:t>взнос</w:t>
                        </w:r>
                        <w:proofErr w:type="spellEnd"/>
                        <w:r w:rsidRPr="00116850">
                          <w:rPr>
                            <w:rFonts w:ascii="Times New Roman" w:hAnsi="Times New Roman"/>
                            <w:sz w:val="24"/>
                            <w:szCs w:val="24"/>
                            <w:lang w:val="uk-UA"/>
                          </w:rPr>
                          <w:t>, тариф, премія) забезпечує</w:t>
                        </w:r>
                      </w:p>
                    </w:txbxContent>
                  </v:textbox>
                </v:rect>
                <v:group id="Групувати 362" o:spid="_x0000_s1028" style="position:absolute;left:4826;width:51022;height:57277" coordsize="51022,57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Прямоугольник 322" o:spid="_x0000_s1029" style="position:absolute;left:27813;top:37846;width:21621;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9B56DF" w:rsidRPr="00116850" w:rsidRDefault="009B56DF" w:rsidP="009B56DF">
                          <w:pPr>
                            <w:rPr>
                              <w:rFonts w:ascii="Times New Roman" w:hAnsi="Times New Roman"/>
                              <w:sz w:val="24"/>
                              <w:szCs w:val="24"/>
                              <w:lang w:val="uk-UA"/>
                            </w:rPr>
                          </w:pPr>
                          <w:r w:rsidRPr="00116850">
                            <w:rPr>
                              <w:rFonts w:ascii="Times New Roman" w:hAnsi="Times New Roman"/>
                              <w:sz w:val="24"/>
                              <w:szCs w:val="24"/>
                              <w:lang w:val="uk-UA"/>
                            </w:rPr>
                            <w:t>покриття очікуваних претензій</w:t>
                          </w:r>
                        </w:p>
                      </w:txbxContent>
                    </v:textbox>
                  </v:rect>
                  <v:rect id="Прямоугольник 155" o:spid="_x0000_s1030" style="position:absolute;left:27813;top:43561;width:21621;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9B56DF" w:rsidRPr="00116850" w:rsidRDefault="009B56DF" w:rsidP="009B56DF">
                          <w:pPr>
                            <w:rPr>
                              <w:rFonts w:ascii="Times New Roman" w:hAnsi="Times New Roman"/>
                              <w:sz w:val="24"/>
                              <w:szCs w:val="24"/>
                              <w:lang w:val="uk-UA"/>
                            </w:rPr>
                          </w:pPr>
                          <w:r w:rsidRPr="00116850">
                            <w:rPr>
                              <w:rFonts w:ascii="Times New Roman" w:hAnsi="Times New Roman"/>
                              <w:sz w:val="24"/>
                              <w:szCs w:val="24"/>
                              <w:lang w:val="uk-UA"/>
                            </w:rPr>
                            <w:t>формування страхових резервів</w:t>
                          </w:r>
                        </w:p>
                      </w:txbxContent>
                    </v:textbox>
                  </v:rect>
                  <v:rect id="Прямоугольник 156" o:spid="_x0000_s1031" style="position:absolute;left:27813;top:48387;width:21621;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9B56DF" w:rsidRPr="003E2F71" w:rsidRDefault="009B56DF" w:rsidP="009B56DF">
                          <w:pPr>
                            <w:rPr>
                              <w:rFonts w:ascii="Times New Roman" w:hAnsi="Times New Roman"/>
                              <w:lang w:val="uk-UA"/>
                            </w:rPr>
                          </w:pPr>
                          <w:r w:rsidRPr="003E2F71">
                            <w:rPr>
                              <w:rFonts w:ascii="Times New Roman" w:hAnsi="Times New Roman"/>
                              <w:lang w:val="uk-UA"/>
                            </w:rPr>
                            <w:t xml:space="preserve">покриття витрат страхової компанії </w:t>
                          </w:r>
                        </w:p>
                      </w:txbxContent>
                    </v:textbox>
                  </v:rect>
                  <v:rect id="Прямоугольник 320" o:spid="_x0000_s1032" style="position:absolute;left:27940;top:53848;width:2162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9B56DF" w:rsidRPr="003E2F71" w:rsidRDefault="009B56DF" w:rsidP="009B56DF">
                          <w:pPr>
                            <w:rPr>
                              <w:rFonts w:ascii="Times New Roman" w:hAnsi="Times New Roman"/>
                              <w:lang w:val="uk-UA"/>
                            </w:rPr>
                          </w:pPr>
                          <w:r w:rsidRPr="003E2F71">
                            <w:rPr>
                              <w:rFonts w:ascii="Times New Roman" w:hAnsi="Times New Roman"/>
                              <w:lang w:val="uk-UA"/>
                            </w:rPr>
                            <w:t xml:space="preserve">забезпечення прибутку </w:t>
                          </w:r>
                        </w:p>
                      </w:txbxContent>
                    </v:textbox>
                  </v:rect>
                  <v:line id="Прямая соединительная линия 325" o:spid="_x0000_s1033" style="position:absolute;flip:y;visibility:visible;mso-wrap-style:square" from="14224,39751" to="27863,46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Прямая соединительная линия 157" o:spid="_x0000_s1034" style="position:absolute;visibility:visible;mso-wrap-style:square" from="14224,46990" to="27940,55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Прямая соединительная линия 158" o:spid="_x0000_s1035" style="position:absolute;flip:y;visibility:visible;mso-wrap-style:square" from="14224,46037" to="27940,46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Прямая соединительная линия 159" o:spid="_x0000_s1036" style="position:absolute;visibility:visible;mso-wrap-style:square" from="14224,46990" to="28016,5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rect id="Прямоугольник 649" o:spid="_x0000_s1037" style="position:absolute;left:14986;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zWscA&#10;AADbAAAADwAAAGRycy9kb3ducmV2LnhtbESPQUsDMRCF70L/Q5hCL2KzeljrtmlRQRQsQqtYvA2b&#10;aXbpZrIkabv++85B8DbDe/PeN4vV4Dt1opjawAZupwUo4jrYlp2Br8+XmxmolJEtdoHJwC8lWC1H&#10;VwusbDjzhk7b7JSEcKrQQJNzX2md6oY8pmnoiUXbh+gxyxqdthHPEu47fVcUpfbYsjQ02NNzQ/Vh&#10;e/QGng7fm497N3uPffmwfr3+2ZWD2xkzGQ+Pc1CZhvxv/rt+s4IvsPKLD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Vc1rHAAAA2wAAAA8AAAAAAAAAAAAAAAAAmAIAAGRy&#10;cy9kb3ducmV2LnhtbFBLBQYAAAAABAAEAPUAAACMAwAAAAA=&#10;" strokeweight="1pt">
                    <v:textbox>
                      <w:txbxContent>
                        <w:p w:rsidR="009B56DF" w:rsidRPr="003E2F71" w:rsidRDefault="009B56DF" w:rsidP="009B56DF">
                          <w:pPr>
                            <w:jc w:val="center"/>
                            <w:rPr>
                              <w:rFonts w:ascii="Times New Roman" w:hAnsi="Times New Roman"/>
                              <w:sz w:val="24"/>
                              <w:szCs w:val="24"/>
                              <w:lang w:val="uk-UA"/>
                            </w:rPr>
                          </w:pPr>
                          <w:r w:rsidRPr="003E2F71">
                            <w:rPr>
                              <w:rFonts w:ascii="Times New Roman" w:hAnsi="Times New Roman"/>
                              <w:sz w:val="24"/>
                              <w:szCs w:val="24"/>
                              <w:lang w:val="uk-UA"/>
                            </w:rPr>
                            <w:t>Страхова послуга</w:t>
                          </w:r>
                        </w:p>
                      </w:txbxContent>
                    </v:textbox>
                  </v:rect>
                  <v:rect id="Прямоугольник 650" o:spid="_x0000_s1038" style="position:absolute;left:1905;top:10287;width:1790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textbox>
                      <w:txbxContent>
                        <w:p w:rsidR="009B56DF" w:rsidRPr="003E2F71" w:rsidRDefault="009B56DF" w:rsidP="009B56DF">
                          <w:pPr>
                            <w:jc w:val="center"/>
                            <w:rPr>
                              <w:rFonts w:ascii="Times New Roman" w:hAnsi="Times New Roman"/>
                              <w:sz w:val="24"/>
                              <w:szCs w:val="24"/>
                              <w:lang w:val="uk-UA"/>
                            </w:rPr>
                          </w:pPr>
                          <w:r w:rsidRPr="003E2F71">
                            <w:rPr>
                              <w:rFonts w:ascii="Times New Roman" w:hAnsi="Times New Roman"/>
                              <w:sz w:val="24"/>
                              <w:szCs w:val="24"/>
                              <w:lang w:val="uk-UA"/>
                            </w:rPr>
                            <w:t xml:space="preserve">Споживча вартість </w:t>
                          </w:r>
                        </w:p>
                      </w:txbxContent>
                    </v:textbox>
                  </v:rect>
                  <v:rect id="Прямоугольник 651" o:spid="_x0000_s1039" style="position:absolute;left:31877;top:8763;width:19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textbox>
                      <w:txbxContent>
                        <w:p w:rsidR="009B56DF" w:rsidRPr="003E2F71" w:rsidRDefault="009B56DF" w:rsidP="009B56DF">
                          <w:pPr>
                            <w:jc w:val="center"/>
                            <w:rPr>
                              <w:rFonts w:ascii="Times New Roman" w:hAnsi="Times New Roman"/>
                              <w:sz w:val="24"/>
                              <w:szCs w:val="24"/>
                              <w:lang w:val="uk-UA"/>
                            </w:rPr>
                          </w:pPr>
                          <w:r w:rsidRPr="003E2F71">
                            <w:rPr>
                              <w:rFonts w:ascii="Times New Roman" w:hAnsi="Times New Roman"/>
                              <w:sz w:val="24"/>
                              <w:szCs w:val="24"/>
                              <w:lang w:val="uk-UA"/>
                            </w:rPr>
                            <w:t>Вартість (ціна)</w:t>
                          </w:r>
                        </w:p>
                      </w:txbxContent>
                    </v:textbox>
                  </v:rect>
                  <v:line id="Прямая соединительная линия 652" o:spid="_x0000_s1040" style="position:absolute;flip:x;visibility:visible;mso-wrap-style:square" from="10160,3683" to="23012,1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Прямая соединительная линия 653" o:spid="_x0000_s1041" style="position:absolute;visibility:visible;mso-wrap-style:square" from="23114,3429" to="40687,8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roundrect id="Прямоугольник: скругленные углы 644" o:spid="_x0000_s1042" style="position:absolute;top:18796;width:18764;height:10287;visibility:visible;mso-wrap-style:square;v-text-anchor:top" arcsize="2389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tdsMA&#10;AADbAAAADwAAAGRycy9kb3ducmV2LnhtbESPUWvCMBSF34X9h3AHexFN14FINS0idA4cgm4/4NJc&#10;m2JyU5pMu3+/CMIeD+ec73DW1eisuNIQOs8KXucZCOLG645bBd9f9WwJIkRkjdYzKfilAFX5NFlj&#10;of2Nj3Q9xVYkCIcCFZgY+0LK0BhyGOa+J07e2Q8OY5JDK/WAtwR3VuZZtpAOO04LBnvaGmoupx+n&#10;QB+45/2+nm5279v8cxdrYxur1MvzuFmBiDTG//Cj/aEV5G9w/5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gtdsMAAADbAAAADwAAAAAAAAAAAAAAAACYAgAAZHJzL2Rv&#10;d25yZXYueG1sUEsFBgAAAAAEAAQA9QAAAIgDAAAAAA==&#10;">
                    <v:textbox>
                      <w:txbxContent>
                        <w:p w:rsidR="009B56DF" w:rsidRPr="00116850" w:rsidRDefault="009B56DF" w:rsidP="009B56DF">
                          <w:pPr>
                            <w:spacing w:line="360" w:lineRule="auto"/>
                            <w:jc w:val="center"/>
                            <w:rPr>
                              <w:rFonts w:ascii="Times New Roman" w:hAnsi="Times New Roman"/>
                              <w:iCs/>
                              <w:sz w:val="24"/>
                              <w:lang w:val="uk-UA"/>
                            </w:rPr>
                          </w:pPr>
                          <w:r w:rsidRPr="00116850">
                            <w:rPr>
                              <w:rFonts w:ascii="Times New Roman" w:hAnsi="Times New Roman"/>
                              <w:iCs/>
                              <w:sz w:val="24"/>
                              <w:lang w:val="uk-UA"/>
                            </w:rPr>
                            <w:t>Споживча вартість забезпечує страховий захист у формі</w:t>
                          </w:r>
                        </w:p>
                      </w:txbxContent>
                    </v:textbox>
                  </v:roundrect>
                  <v:roundrect id="Прямоугольник: скругленные углы 648" o:spid="_x0000_s1043" style="position:absolute;left:31877;top:16129;width:18383;height:9810;visibility:visible;mso-wrap-style:square;v-text-anchor:top" arcsize="2389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1AsMA&#10;AADbAAAADwAAAGRycy9kb3ducmV2LnhtbESPUWvCMBSF34X9h3AHexFNV4ZINS0idA4cgm4/4NJc&#10;m2JyU5pMu3+/CMIeD+ec73DW1eisuNIQOs8KXucZCOLG645bBd9f9WwJIkRkjdYzKfilAFX5NFlj&#10;of2Nj3Q9xVYkCIcCFZgY+0LK0BhyGOa+J07e2Q8OY5JDK/WAtwR3VuZZtpAOO04LBnvaGmoupx+n&#10;QB+45/2+nm5279v8cxdrYxur1MvzuFmBiDTG//Cj/aEV5G9w/5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G1AsMAAADbAAAADwAAAAAAAAAAAAAAAACYAgAAZHJzL2Rv&#10;d25yZXYueG1sUEsFBgAAAAAEAAQA9QAAAIgDAAAAAA==&#10;">
                    <v:textbox>
                      <w:txbxContent>
                        <w:p w:rsidR="009B56DF" w:rsidRPr="003E2F71" w:rsidRDefault="009B56DF" w:rsidP="009B56DF">
                          <w:pPr>
                            <w:tabs>
                              <w:tab w:val="left" w:pos="4620"/>
                              <w:tab w:val="left" w:pos="6030"/>
                            </w:tabs>
                            <w:jc w:val="center"/>
                            <w:rPr>
                              <w:rFonts w:ascii="Times New Roman" w:hAnsi="Times New Roman"/>
                              <w:bCs/>
                              <w:iCs/>
                              <w:lang w:val="uk-UA"/>
                            </w:rPr>
                          </w:pPr>
                          <w:r w:rsidRPr="003E2F71">
                            <w:rPr>
                              <w:rFonts w:ascii="Times New Roman" w:hAnsi="Times New Roman"/>
                              <w:bCs/>
                              <w:iCs/>
                              <w:lang w:val="uk-UA"/>
                            </w:rPr>
                            <w:t>страхового відшкодування збитків потерпілих на умовах договору страхування</w:t>
                          </w:r>
                        </w:p>
                      </w:txbxContent>
                    </v:textbox>
                  </v:roundrect>
                  <v:roundrect id="Прямоугольник: скругленные углы 646" o:spid="_x0000_s1044" style="position:absolute;left:31115;top:27051;width:19145;height:9429;visibility:visible;mso-wrap-style:square;v-text-anchor:top" arcsize="2389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0QmcMA&#10;AADbAAAADwAAAGRycy9kb3ducmV2LnhtbESPUWvCMBSF34X9h3AHexFNV5hINS0idA4cgm4/4NJc&#10;m2JyU5pMu3+/CMIeD+ec73DW1eisuNIQOs8KXucZCOLG645bBd9f9WwJIkRkjdYzKfilAFX5NFlj&#10;of2Nj3Q9xVYkCIcCFZgY+0LK0BhyGOa+J07e2Q8OY5JDK/WAtwR3VuZZtpAOO04LBnvaGmoupx+n&#10;QB+45/2+nm5279v8cxdrYxur1MvzuFmBiDTG//Cj/aEV5G9w/5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0QmcMAAADbAAAADwAAAAAAAAAAAAAAAACYAgAAZHJzL2Rv&#10;d25yZXYueG1sUEsFBgAAAAAEAAQA9QAAAIgDAAAAAA==&#10;">
                    <v:textbox>
                      <w:txbxContent>
                        <w:p w:rsidR="009B56DF" w:rsidRPr="003E2F71" w:rsidRDefault="009B56DF" w:rsidP="009B56DF">
                          <w:pPr>
                            <w:tabs>
                              <w:tab w:val="left" w:pos="4620"/>
                              <w:tab w:val="left" w:pos="6030"/>
                            </w:tabs>
                            <w:spacing w:after="0" w:line="360" w:lineRule="auto"/>
                            <w:jc w:val="center"/>
                            <w:rPr>
                              <w:rFonts w:ascii="Times New Roman" w:hAnsi="Times New Roman"/>
                              <w:bCs/>
                              <w:iCs/>
                              <w:lang w:val="uk-UA"/>
                            </w:rPr>
                          </w:pPr>
                          <w:r w:rsidRPr="003E2F71">
                            <w:rPr>
                              <w:rFonts w:ascii="Times New Roman" w:hAnsi="Times New Roman"/>
                              <w:bCs/>
                              <w:iCs/>
                              <w:lang w:val="uk-UA"/>
                            </w:rPr>
                            <w:t>страхового</w:t>
                          </w:r>
                        </w:p>
                        <w:p w:rsidR="009B56DF" w:rsidRPr="003E2F71" w:rsidRDefault="009B56DF" w:rsidP="009B56DF">
                          <w:pPr>
                            <w:tabs>
                              <w:tab w:val="left" w:pos="4620"/>
                              <w:tab w:val="left" w:pos="6030"/>
                            </w:tabs>
                            <w:spacing w:after="0" w:line="360" w:lineRule="auto"/>
                            <w:jc w:val="center"/>
                            <w:rPr>
                              <w:rFonts w:ascii="Times New Roman" w:hAnsi="Times New Roman"/>
                              <w:bCs/>
                              <w:iCs/>
                              <w:lang w:val="uk-UA"/>
                            </w:rPr>
                          </w:pPr>
                          <w:r w:rsidRPr="003E2F71">
                            <w:rPr>
                              <w:rFonts w:ascii="Times New Roman" w:hAnsi="Times New Roman"/>
                              <w:bCs/>
                              <w:iCs/>
                              <w:lang w:val="uk-UA"/>
                            </w:rPr>
                            <w:t>забезпечення у страхуванні життя</w:t>
                          </w:r>
                        </w:p>
                      </w:txbxContent>
                    </v:textbox>
                  </v:roundrect>
                  <v:line id="Прямая соединительная линия 647" o:spid="_x0000_s1045" style="position:absolute;flip:y;visibility:visible;mso-wrap-style:square" from="18796,20002" to="31886,2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zrc8oAAADiAAAADwAAAGRycy9kb3ducmV2LnhtbESPQWvCQBCF70L/wzIFL6FuqqnY6Cra&#10;VhCkh9oeehyyYxKanQ3Zqab/3i0IwlyG9943bxar3jXqRF2oPRt4HKWgiAtvay4NfH1uH2aggiBb&#10;bDyTgT8KsFreDRaYW3/mDzodpFQRwiFHA5VIm2sdioochpFviaN29J1DiWtXatvhOcJdo8dpOtUO&#10;a44XKmzppaLi5/DrYo3tO79OJsnG6SR5prdv2adajBne9+s5KKFebuZremcNZNPZU5bFgf+XIgf0&#10;8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7OtzygAAAOIAAAAPAAAA&#10;AAAAAAAAAAAAAKECAABkcnMvZG93bnJldi54bWxQSwUGAAAAAAQABAD5AAAAmAMAAAAA&#10;">
                    <v:stroke endarrow="block"/>
                  </v:line>
                  <v:line id="Прямая соединительная линия 645" o:spid="_x0000_s1046" style="position:absolute;visibility:visible;mso-wrap-style:square" from="18796,25781" to="31032,31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bnBMsAAADiAAAADwAAAGRycy9kb3ducmV2LnhtbESPT0vDQBTE74LfYXmCN7tpSfondluK&#10;QfCghbbi+Zl9ZoPZtyG7puu3d4VCj8PM/IZZb6PtxEiDbx0rmE4yEMS10y03Ct5Pzw9LED4ga+wc&#10;k4Jf8rDd3N6ssdTuzAcaj6ERCcK+RAUmhL6U0teGLPqJ64mT9+UGiyHJoZF6wHOC207OsmwuLbac&#10;Fgz29GSo/j7+WAULUx3kQlavp301ttNVfIsfnyul7u/i7hFEoBiu4Uv7RSvI58siz4u8gP9L6Q7I&#10;z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EbnBMsAAADiAAAADwAA&#10;AAAAAAAAAAAAAAChAgAAZHJzL2Rvd25yZXYueG1sUEsFBgAAAAAEAAQA+QAAAJkDAAAAAA==&#10;">
                    <v:stroke endarrow="block"/>
                  </v:line>
                </v:group>
              </v:group>
            </w:pict>
          </mc:Fallback>
        </mc:AlternateContent>
      </w:r>
    </w:p>
    <w:p w:rsidR="009B56DF" w:rsidRPr="008277A3" w:rsidRDefault="009B56DF" w:rsidP="009B56DF">
      <w:pPr>
        <w:tabs>
          <w:tab w:val="right" w:pos="9638"/>
        </w:tabs>
        <w:spacing w:after="0" w:line="240" w:lineRule="auto"/>
        <w:jc w:val="center"/>
        <w:rPr>
          <w:rFonts w:ascii="Times New Roman" w:hAnsi="Times New Roman"/>
          <w:sz w:val="28"/>
          <w:szCs w:val="28"/>
          <w:lang w:val="uk-UA"/>
        </w:rPr>
      </w:pPr>
    </w:p>
    <w:p w:rsidR="009B56DF" w:rsidRPr="008277A3" w:rsidRDefault="009B56DF" w:rsidP="009B56DF">
      <w:pPr>
        <w:tabs>
          <w:tab w:val="right" w:pos="9638"/>
        </w:tabs>
        <w:spacing w:after="0" w:line="240" w:lineRule="auto"/>
        <w:ind w:firstLine="540"/>
        <w:jc w:val="center"/>
        <w:rPr>
          <w:rFonts w:ascii="Times New Roman" w:hAnsi="Times New Roman"/>
          <w:sz w:val="28"/>
          <w:szCs w:val="28"/>
          <w:lang w:val="uk-UA"/>
        </w:rPr>
      </w:pPr>
    </w:p>
    <w:p w:rsidR="009B56DF" w:rsidRPr="008277A3" w:rsidRDefault="009B56DF" w:rsidP="009B56DF">
      <w:pPr>
        <w:ind w:firstLine="540"/>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tabs>
          <w:tab w:val="left" w:pos="3218"/>
          <w:tab w:val="right" w:pos="9639"/>
        </w:tabs>
        <w:rPr>
          <w:rFonts w:ascii="Times New Roman" w:hAnsi="Times New Roman"/>
          <w:szCs w:val="28"/>
          <w:lang w:val="uk-UA"/>
        </w:rPr>
      </w:pPr>
      <w:r w:rsidRPr="008277A3">
        <w:rPr>
          <w:rFonts w:ascii="Times New Roman" w:hAnsi="Times New Roman"/>
          <w:szCs w:val="28"/>
          <w:lang w:val="uk-UA"/>
        </w:rPr>
        <w:tab/>
      </w: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jc w:val="right"/>
        <w:rPr>
          <w:rFonts w:ascii="Times New Roman" w:hAnsi="Times New Roman"/>
          <w:szCs w:val="28"/>
          <w:lang w:val="uk-UA"/>
        </w:rPr>
      </w:pPr>
    </w:p>
    <w:p w:rsidR="009B56DF" w:rsidRPr="008277A3" w:rsidRDefault="009B56DF" w:rsidP="009B56DF">
      <w:pPr>
        <w:rPr>
          <w:rFonts w:ascii="Times New Roman" w:hAnsi="Times New Roman"/>
          <w:b/>
          <w:szCs w:val="28"/>
          <w:lang w:val="uk-UA"/>
        </w:rPr>
      </w:pPr>
    </w:p>
    <w:p w:rsidR="009B56DF" w:rsidRPr="008277A3" w:rsidRDefault="009B56DF" w:rsidP="009B56DF">
      <w:pPr>
        <w:rPr>
          <w:rFonts w:ascii="Times New Roman" w:hAnsi="Times New Roman"/>
          <w:b/>
          <w:szCs w:val="28"/>
          <w:lang w:val="uk-UA"/>
        </w:rPr>
      </w:pPr>
    </w:p>
    <w:p w:rsidR="009B56DF" w:rsidRPr="008277A3" w:rsidRDefault="009B56DF" w:rsidP="009B56DF">
      <w:pPr>
        <w:spacing w:line="240" w:lineRule="auto"/>
        <w:ind w:firstLine="709"/>
        <w:rPr>
          <w:rFonts w:ascii="Times New Roman" w:hAnsi="Times New Roman"/>
          <w:sz w:val="28"/>
          <w:szCs w:val="28"/>
          <w:lang w:val="uk-UA"/>
        </w:rPr>
      </w:pPr>
    </w:p>
    <w:p w:rsidR="009B56DF" w:rsidRPr="008277A3" w:rsidRDefault="009B56DF" w:rsidP="009B56DF">
      <w:pPr>
        <w:spacing w:line="240" w:lineRule="auto"/>
        <w:ind w:firstLine="709"/>
        <w:rPr>
          <w:rFonts w:ascii="Times New Roman" w:hAnsi="Times New Roman"/>
          <w:sz w:val="28"/>
          <w:szCs w:val="28"/>
          <w:lang w:val="uk-UA"/>
        </w:rPr>
      </w:pPr>
    </w:p>
    <w:p w:rsidR="009B56DF" w:rsidRPr="008277A3" w:rsidRDefault="009B56DF" w:rsidP="009B56DF">
      <w:pPr>
        <w:spacing w:line="240" w:lineRule="auto"/>
        <w:ind w:firstLine="709"/>
        <w:rPr>
          <w:rFonts w:ascii="Times New Roman" w:hAnsi="Times New Roman"/>
          <w:szCs w:val="28"/>
          <w:lang w:val="uk-UA"/>
        </w:rPr>
      </w:pPr>
      <w:r w:rsidRPr="008277A3">
        <w:rPr>
          <w:rFonts w:ascii="Times New Roman" w:hAnsi="Times New Roman"/>
          <w:sz w:val="28"/>
          <w:szCs w:val="28"/>
          <w:lang w:val="uk-UA"/>
        </w:rPr>
        <w:t xml:space="preserve">Рисунок  4.1 – Характеристика страхової послуги </w:t>
      </w:r>
      <w:r w:rsidRPr="008277A3">
        <w:rPr>
          <w:rFonts w:ascii="Times New Roman" w:hAnsi="Times New Roman"/>
          <w:sz w:val="28"/>
          <w:lang w:val="uk-UA"/>
        </w:rPr>
        <w:t>[1]</w:t>
      </w:r>
    </w:p>
    <w:p w:rsidR="009B56DF" w:rsidRPr="008277A3" w:rsidRDefault="009B56DF" w:rsidP="009B56DF">
      <w:pPr>
        <w:spacing w:line="240" w:lineRule="auto"/>
        <w:ind w:firstLine="709"/>
        <w:rPr>
          <w:rFonts w:ascii="Times New Roman" w:hAnsi="Times New Roman"/>
          <w:sz w:val="28"/>
          <w:szCs w:val="28"/>
          <w:lang w:val="uk-UA"/>
        </w:rPr>
      </w:pP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Широко використовується метод страхування цінового ризику шляхом проведення протилежних операцій із різними видами біржових контрактів. Цей метод отримав назву хеджування.</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i/>
          <w:iCs/>
          <w:sz w:val="28"/>
          <w:szCs w:val="28"/>
          <w:lang w:val="uk-UA"/>
        </w:rPr>
        <w:t xml:space="preserve">Хеджування </w:t>
      </w:r>
      <w:r w:rsidRPr="008277A3">
        <w:rPr>
          <w:rFonts w:ascii="Times New Roman" w:hAnsi="Times New Roman"/>
          <w:sz w:val="28"/>
          <w:szCs w:val="28"/>
          <w:lang w:val="uk-UA"/>
        </w:rPr>
        <w:t>– купівля і/або продаж похідних цінних паперів (опціонів або ф'ючерсів) для того, щоб знизити ризик можливих втрат від майбутніх біржових угод.</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Хеджування на підвищення, або хеджування купівлею, являє собою біржову операцію з купівлі термінових контрактів чи опціонів. </w:t>
      </w:r>
      <w:proofErr w:type="spellStart"/>
      <w:r w:rsidRPr="008277A3">
        <w:rPr>
          <w:rFonts w:ascii="Times New Roman" w:hAnsi="Times New Roman"/>
          <w:sz w:val="28"/>
          <w:szCs w:val="28"/>
          <w:lang w:val="uk-UA"/>
        </w:rPr>
        <w:t>Хедж</w:t>
      </w:r>
      <w:proofErr w:type="spellEnd"/>
      <w:r w:rsidRPr="008277A3">
        <w:rPr>
          <w:rFonts w:ascii="Times New Roman" w:hAnsi="Times New Roman"/>
          <w:sz w:val="28"/>
          <w:szCs w:val="28"/>
          <w:lang w:val="uk-UA"/>
        </w:rPr>
        <w:t xml:space="preserve"> на підвищення застосовується в тих випадках, коли необхідно застрахуватися від можливого підвищення цін (курсів) у майбутньому. Він дає змогу встановити купівельну ціну набагато раніше, ніж був придбаний реальний товар. Припустимо, що ціна товару (курс валюти чи цінних паперів) через три місяці зросте, а необхідний товар надійде через три місяці. Для компенсації втрат від очікуваного підвищення цін слід купити зараз за сьогоднішньою ціною терміновий контракт, пов'язаний із цим товаром, і продати у момент, коли буде купуватися товар. Оскільки ціна на товар і пов'язаний із ним терміновий контракт зміняться </w:t>
      </w:r>
      <w:proofErr w:type="spellStart"/>
      <w:r w:rsidRPr="008277A3">
        <w:rPr>
          <w:rFonts w:ascii="Times New Roman" w:hAnsi="Times New Roman"/>
          <w:sz w:val="28"/>
          <w:szCs w:val="28"/>
          <w:lang w:val="uk-UA"/>
        </w:rPr>
        <w:t>пропорційно</w:t>
      </w:r>
      <w:proofErr w:type="spellEnd"/>
      <w:r w:rsidRPr="008277A3">
        <w:rPr>
          <w:rFonts w:ascii="Times New Roman" w:hAnsi="Times New Roman"/>
          <w:sz w:val="28"/>
          <w:szCs w:val="28"/>
          <w:lang w:val="uk-UA"/>
        </w:rPr>
        <w:t xml:space="preserve"> в одному напрямку, то куплений раніше контракт можна продати дорожче на стільки, на скільки зросте до цього ціна на товар. Таким чином, </w:t>
      </w:r>
      <w:proofErr w:type="spellStart"/>
      <w:r w:rsidRPr="008277A3">
        <w:rPr>
          <w:rFonts w:ascii="Times New Roman" w:hAnsi="Times New Roman"/>
          <w:sz w:val="28"/>
          <w:szCs w:val="28"/>
          <w:lang w:val="uk-UA"/>
        </w:rPr>
        <w:t>хеджер</w:t>
      </w:r>
      <w:proofErr w:type="spellEnd"/>
      <w:r w:rsidRPr="008277A3">
        <w:rPr>
          <w:rFonts w:ascii="Times New Roman" w:hAnsi="Times New Roman"/>
          <w:sz w:val="28"/>
          <w:szCs w:val="28"/>
          <w:lang w:val="uk-UA"/>
        </w:rPr>
        <w:t>, здійснюючи хеджування на підвищення, страхує себе від можливого підвищення цін у майбутньому.</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i/>
          <w:iCs/>
          <w:sz w:val="28"/>
          <w:szCs w:val="28"/>
          <w:lang w:val="uk-UA"/>
        </w:rPr>
        <w:t>Хеджування на зниження</w:t>
      </w:r>
      <w:r w:rsidRPr="008277A3">
        <w:rPr>
          <w:rFonts w:ascii="Times New Roman" w:hAnsi="Times New Roman"/>
          <w:sz w:val="28"/>
          <w:szCs w:val="28"/>
          <w:lang w:val="uk-UA"/>
        </w:rPr>
        <w:t xml:space="preserve">, або хеджування </w:t>
      </w:r>
      <w:proofErr w:type="spellStart"/>
      <w:r w:rsidRPr="008277A3">
        <w:rPr>
          <w:rFonts w:ascii="Times New Roman" w:hAnsi="Times New Roman"/>
          <w:sz w:val="28"/>
          <w:szCs w:val="28"/>
          <w:lang w:val="uk-UA"/>
        </w:rPr>
        <w:t>продажем</w:t>
      </w:r>
      <w:proofErr w:type="spellEnd"/>
      <w:r w:rsidRPr="008277A3">
        <w:rPr>
          <w:rFonts w:ascii="Times New Roman" w:hAnsi="Times New Roman"/>
          <w:sz w:val="28"/>
          <w:szCs w:val="28"/>
          <w:lang w:val="uk-UA"/>
        </w:rPr>
        <w:t xml:space="preserve">, – це біржова операція з продажу термінового контракту. </w:t>
      </w:r>
      <w:proofErr w:type="spellStart"/>
      <w:r w:rsidRPr="008277A3">
        <w:rPr>
          <w:rFonts w:ascii="Times New Roman" w:hAnsi="Times New Roman"/>
          <w:sz w:val="28"/>
          <w:szCs w:val="28"/>
          <w:lang w:val="uk-UA"/>
        </w:rPr>
        <w:t>Хеджер</w:t>
      </w:r>
      <w:proofErr w:type="spellEnd"/>
      <w:r w:rsidRPr="008277A3">
        <w:rPr>
          <w:rFonts w:ascii="Times New Roman" w:hAnsi="Times New Roman"/>
          <w:sz w:val="28"/>
          <w:szCs w:val="28"/>
          <w:lang w:val="uk-UA"/>
        </w:rPr>
        <w:t xml:space="preserve">, який здійснює хеджування на зниження, передбачає здійснити в майбутньому продаж товару, і тому, продаючи на біржі терміновий контракт або опціон, страхує себе від можливого зниження цін у майбутньому. Припустимо, що ціна товару (курс валюти, цінного папера) через три місяці знизиться, а товар необхідно буде продати через три місяці. Для компенсації передбачених втрат від зниження цін </w:t>
      </w:r>
      <w:proofErr w:type="spellStart"/>
      <w:r w:rsidRPr="008277A3">
        <w:rPr>
          <w:rFonts w:ascii="Times New Roman" w:hAnsi="Times New Roman"/>
          <w:sz w:val="28"/>
          <w:szCs w:val="28"/>
          <w:lang w:val="uk-UA"/>
        </w:rPr>
        <w:t>хеджер</w:t>
      </w:r>
      <w:proofErr w:type="spellEnd"/>
      <w:r w:rsidRPr="008277A3">
        <w:rPr>
          <w:rFonts w:ascii="Times New Roman" w:hAnsi="Times New Roman"/>
          <w:sz w:val="28"/>
          <w:szCs w:val="28"/>
          <w:lang w:val="uk-UA"/>
        </w:rPr>
        <w:t xml:space="preserve"> продає терміновий контракт сьогодні за високою ціною, а під час продажу свого товару через три місяці, коли ціна на нього впала, купує такий же терміновий контракт за зниженою (майже на стільки ж) ціною. Таким чином, </w:t>
      </w:r>
      <w:proofErr w:type="spellStart"/>
      <w:r w:rsidRPr="008277A3">
        <w:rPr>
          <w:rFonts w:ascii="Times New Roman" w:hAnsi="Times New Roman"/>
          <w:sz w:val="28"/>
          <w:szCs w:val="28"/>
          <w:lang w:val="uk-UA"/>
        </w:rPr>
        <w:t>хедж</w:t>
      </w:r>
      <w:proofErr w:type="spellEnd"/>
      <w:r w:rsidRPr="008277A3">
        <w:rPr>
          <w:rFonts w:ascii="Times New Roman" w:hAnsi="Times New Roman"/>
          <w:sz w:val="28"/>
          <w:szCs w:val="28"/>
          <w:lang w:val="uk-UA"/>
        </w:rPr>
        <w:t xml:space="preserve"> на зниження застосовується в таких випадках, коли товар необхідно продати пізніше. </w:t>
      </w:r>
      <w:proofErr w:type="spellStart"/>
      <w:r w:rsidRPr="008277A3">
        <w:rPr>
          <w:rFonts w:ascii="Times New Roman" w:hAnsi="Times New Roman"/>
          <w:sz w:val="28"/>
          <w:szCs w:val="28"/>
          <w:lang w:val="uk-UA"/>
        </w:rPr>
        <w:t>Хеджер</w:t>
      </w:r>
      <w:proofErr w:type="spellEnd"/>
      <w:r w:rsidRPr="008277A3">
        <w:rPr>
          <w:rFonts w:ascii="Times New Roman" w:hAnsi="Times New Roman"/>
          <w:sz w:val="28"/>
          <w:szCs w:val="28"/>
          <w:lang w:val="uk-UA"/>
        </w:rPr>
        <w:t xml:space="preserve"> намагається знизити ризик, який викликаний невизначеністю цін на ринку, за допомогою купівлі чи продажу термінових контрактів. Це дає можливість зафіксувати ціну і зробити прибутки і витрати </w:t>
      </w:r>
      <w:proofErr w:type="spellStart"/>
      <w:r w:rsidRPr="008277A3">
        <w:rPr>
          <w:rFonts w:ascii="Times New Roman" w:hAnsi="Times New Roman"/>
          <w:sz w:val="28"/>
          <w:szCs w:val="28"/>
          <w:lang w:val="uk-UA"/>
        </w:rPr>
        <w:t>передбачуванішими</w:t>
      </w:r>
      <w:proofErr w:type="spellEnd"/>
      <w:r w:rsidRPr="008277A3">
        <w:rPr>
          <w:rFonts w:ascii="Times New Roman" w:hAnsi="Times New Roman"/>
          <w:sz w:val="28"/>
          <w:szCs w:val="28"/>
          <w:lang w:val="uk-UA"/>
        </w:rPr>
        <w:t>. При цьому ризик, пов'язаний із хеджування, не зникає. Його беруть на себе спекулянти, тобто підприємці, які йдуть на певний, заздалегідь розрахований, ризик. Хеджування може здійснюватися як із допомогою валютного опціону, так і через форвардну угоду.</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i/>
          <w:iCs/>
          <w:sz w:val="28"/>
          <w:szCs w:val="28"/>
          <w:lang w:val="uk-UA"/>
        </w:rPr>
        <w:t>Валютний опціон</w:t>
      </w:r>
      <w:r w:rsidRPr="008277A3">
        <w:rPr>
          <w:rFonts w:ascii="Times New Roman" w:hAnsi="Times New Roman"/>
          <w:sz w:val="28"/>
          <w:szCs w:val="28"/>
          <w:lang w:val="uk-UA"/>
        </w:rPr>
        <w:t xml:space="preserve"> – це право покупця купити і зобов'язання продавця продати певну кількість однієї валюти в обмін на іншу за фіксованим курсом на заздалегідь узгоджену дату або протягом узгодженого періоду. Таким </w:t>
      </w:r>
      <w:r w:rsidRPr="008277A3">
        <w:rPr>
          <w:rFonts w:ascii="Times New Roman" w:hAnsi="Times New Roman"/>
          <w:sz w:val="28"/>
          <w:szCs w:val="28"/>
          <w:lang w:val="uk-UA"/>
        </w:rPr>
        <w:lastRenderedPageBreak/>
        <w:t>чином, опціонний контракт обов'язків для покупця. Суб'єкт господарювання купує валютний опціон, який надає йому право (але не зобов'язання) придбати певну кількість валюти за фіксованим курсом в обумовлений день (європейський стиль).</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Перевагами хеджування за допомогою опціону є певний захист від несприятливої зміни курсу валюти. Недоліками с витрати на оплату опціонної премії.</w:t>
      </w:r>
    </w:p>
    <w:p w:rsidR="009B56DF" w:rsidRPr="008277A3"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i/>
          <w:iCs/>
          <w:sz w:val="28"/>
          <w:szCs w:val="28"/>
          <w:lang w:val="uk-UA"/>
        </w:rPr>
        <w:t>Форвардна операція</w:t>
      </w:r>
      <w:r w:rsidRPr="008277A3">
        <w:rPr>
          <w:rFonts w:ascii="Times New Roman" w:hAnsi="Times New Roman"/>
          <w:sz w:val="28"/>
          <w:szCs w:val="28"/>
          <w:lang w:val="uk-UA"/>
        </w:rPr>
        <w:t xml:space="preserve"> являє собою взаємне зобов'язання сторін провести валютну конверсію за фіксованим курсом на заздалегідь обумовлену дату. Терміновий, або форвардний, контракт – це зобов'язання для двох сторін (продавця та покупця). Продавець зобов'язаний продати, а покупець купити певну кількість валюти за встановленим курсом у певний день.</w:t>
      </w:r>
    </w:p>
    <w:p w:rsidR="009B56DF" w:rsidRDefault="009B56DF" w:rsidP="009B56DF">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Переваги форвардної операції проявляються у відсутності передбачених витрат і в захисті від несприятливої зміни курсу валюти. Недоліком є потенційні втрати, пов'язані з ризиком втраченої вигоди.</w:t>
      </w:r>
    </w:p>
    <w:p w:rsidR="00496CAD" w:rsidRDefault="00496CAD" w:rsidP="00496CAD">
      <w:pPr>
        <w:rPr>
          <w:rFonts w:ascii="Times New Roman" w:eastAsia="Times New Roman" w:hAnsi="Times New Roman"/>
          <w:lang w:eastAsia="ru-RU"/>
        </w:rPr>
      </w:pPr>
    </w:p>
    <w:p w:rsidR="00496CAD" w:rsidRPr="00496CAD" w:rsidRDefault="00496CAD" w:rsidP="00496CAD">
      <w:pPr>
        <w:spacing w:after="0" w:line="240" w:lineRule="auto"/>
        <w:ind w:firstLine="709"/>
        <w:jc w:val="both"/>
        <w:outlineLvl w:val="1"/>
        <w:rPr>
          <w:rFonts w:ascii="Times New Roman" w:eastAsia="Times New Roman" w:hAnsi="Times New Roman"/>
          <w:b/>
          <w:bCs/>
          <w:sz w:val="28"/>
          <w:szCs w:val="28"/>
          <w:lang w:val="uk-UA" w:eastAsia="ru-RU"/>
        </w:rPr>
      </w:pPr>
      <w:proofErr w:type="spellStart"/>
      <w:r>
        <w:rPr>
          <w:rFonts w:ascii="Times New Roman" w:eastAsia="Times New Roman" w:hAnsi="Times New Roman"/>
          <w:b/>
          <w:bCs/>
          <w:sz w:val="28"/>
          <w:szCs w:val="28"/>
          <w:lang w:eastAsia="ru-RU"/>
        </w:rPr>
        <w:t>Застосування</w:t>
      </w:r>
      <w:proofErr w:type="spellEnd"/>
      <w:r>
        <w:rPr>
          <w:rFonts w:ascii="Times New Roman" w:eastAsia="Times New Roman" w:hAnsi="Times New Roman"/>
          <w:b/>
          <w:bCs/>
          <w:sz w:val="28"/>
          <w:szCs w:val="28"/>
          <w:lang w:eastAsia="ru-RU"/>
        </w:rPr>
        <w:t xml:space="preserve"> </w:t>
      </w:r>
      <w:proofErr w:type="gramStart"/>
      <w:r>
        <w:rPr>
          <w:rFonts w:ascii="Times New Roman" w:eastAsia="Times New Roman" w:hAnsi="Times New Roman"/>
          <w:b/>
          <w:bCs/>
          <w:sz w:val="28"/>
          <w:szCs w:val="28"/>
          <w:lang w:eastAsia="ru-RU"/>
        </w:rPr>
        <w:t>штучного</w:t>
      </w:r>
      <w:proofErr w:type="gramEnd"/>
      <w:r>
        <w:rPr>
          <w:rFonts w:ascii="Times New Roman" w:eastAsia="Times New Roman" w:hAnsi="Times New Roman"/>
          <w:b/>
          <w:bCs/>
          <w:sz w:val="28"/>
          <w:szCs w:val="28"/>
          <w:lang w:eastAsia="ru-RU"/>
        </w:rPr>
        <w:t xml:space="preserve"> </w:t>
      </w:r>
      <w:proofErr w:type="spellStart"/>
      <w:r>
        <w:rPr>
          <w:rFonts w:ascii="Times New Roman" w:eastAsia="Times New Roman" w:hAnsi="Times New Roman"/>
          <w:b/>
          <w:bCs/>
          <w:sz w:val="28"/>
          <w:szCs w:val="28"/>
          <w:lang w:eastAsia="ru-RU"/>
        </w:rPr>
        <w:t>інтелекту</w:t>
      </w:r>
      <w:proofErr w:type="spellEnd"/>
      <w:r>
        <w:rPr>
          <w:rFonts w:ascii="Times New Roman" w:eastAsia="Times New Roman" w:hAnsi="Times New Roman"/>
          <w:b/>
          <w:bCs/>
          <w:sz w:val="28"/>
          <w:szCs w:val="28"/>
          <w:lang w:eastAsia="ru-RU"/>
        </w:rPr>
        <w:t xml:space="preserve"> в </w:t>
      </w:r>
      <w:proofErr w:type="spellStart"/>
      <w:r>
        <w:rPr>
          <w:rFonts w:ascii="Times New Roman" w:eastAsia="Times New Roman" w:hAnsi="Times New Roman"/>
          <w:b/>
          <w:bCs/>
          <w:sz w:val="28"/>
          <w:szCs w:val="28"/>
          <w:lang w:eastAsia="ru-RU"/>
        </w:rPr>
        <w:t>масштабних</w:t>
      </w:r>
      <w:proofErr w:type="spellEnd"/>
      <w:r>
        <w:rPr>
          <w:rFonts w:ascii="Times New Roman" w:eastAsia="Times New Roman" w:hAnsi="Times New Roman"/>
          <w:b/>
          <w:bCs/>
          <w:sz w:val="28"/>
          <w:szCs w:val="28"/>
          <w:lang w:eastAsia="ru-RU"/>
        </w:rPr>
        <w:t xml:space="preserve"> моделях центрального банку</w:t>
      </w:r>
      <w:r>
        <w:rPr>
          <w:rFonts w:ascii="Times New Roman" w:eastAsia="Times New Roman" w:hAnsi="Times New Roman"/>
          <w:b/>
          <w:bCs/>
          <w:sz w:val="28"/>
          <w:szCs w:val="28"/>
          <w:lang w:val="uk-UA" w:eastAsia="ru-RU"/>
        </w:rPr>
        <w:t>.</w:t>
      </w:r>
    </w:p>
    <w:p w:rsidR="00496CAD" w:rsidRPr="00496CAD" w:rsidRDefault="00496CAD" w:rsidP="00496CAD">
      <w:pPr>
        <w:spacing w:after="0" w:line="240" w:lineRule="auto"/>
        <w:ind w:firstLine="709"/>
        <w:jc w:val="both"/>
        <w:rPr>
          <w:rFonts w:ascii="Times New Roman" w:eastAsia="Times New Roman" w:hAnsi="Times New Roman"/>
          <w:sz w:val="28"/>
          <w:szCs w:val="28"/>
          <w:lang w:val="uk-UA" w:eastAsia="ru-RU"/>
        </w:rPr>
      </w:pPr>
      <w:r w:rsidRPr="00496CAD">
        <w:rPr>
          <w:rFonts w:ascii="Times New Roman" w:eastAsia="Times New Roman" w:hAnsi="Times New Roman"/>
          <w:sz w:val="28"/>
          <w:szCs w:val="28"/>
          <w:lang w:val="uk-UA" w:eastAsia="ru-RU"/>
        </w:rPr>
        <w:t xml:space="preserve">У сучасному макроекономічному управлінні центральні банки дедалі частіше звертаються до інструментів штучного інтелекту (ШІ) для вдосконалення прогнозування, оцінки ризиків та прийняття стратегічних рішень. В умовах зростання обсягів доступних даних, зростання складності економічних взаємозв’язків і необхідності оперативного реагування, класичні макроекономічні моделі (наприклад, </w:t>
      </w:r>
      <w:r>
        <w:rPr>
          <w:rFonts w:ascii="Times New Roman" w:eastAsia="Times New Roman" w:hAnsi="Times New Roman"/>
          <w:sz w:val="28"/>
          <w:szCs w:val="28"/>
          <w:lang w:eastAsia="ru-RU"/>
        </w:rPr>
        <w:t>DSGE</w:t>
      </w:r>
      <w:r w:rsidRPr="00496CAD">
        <w:rPr>
          <w:rFonts w:ascii="Times New Roman" w:eastAsia="Times New Roman" w:hAnsi="Times New Roman"/>
          <w:sz w:val="28"/>
          <w:szCs w:val="28"/>
          <w:lang w:val="uk-UA" w:eastAsia="ru-RU"/>
        </w:rPr>
        <w:t>-моделі) стають недостатніми без доповнення інтелектуальними алгоритмами. Штучний інтелект не замінює фундаментальні економічні концепції, але надає потужні аналітичні інструменти, що підвищують точність і гнучкість рішень центрального банку.</w:t>
      </w:r>
    </w:p>
    <w:p w:rsidR="00496CAD" w:rsidRDefault="00496CAD" w:rsidP="00496CAD">
      <w:pPr>
        <w:spacing w:after="0" w:line="240" w:lineRule="auto"/>
        <w:ind w:firstLine="709"/>
        <w:jc w:val="both"/>
        <w:rPr>
          <w:rFonts w:ascii="Times New Roman" w:eastAsia="Times New Roman" w:hAnsi="Times New Roman"/>
          <w:sz w:val="28"/>
          <w:szCs w:val="28"/>
          <w:lang w:eastAsia="ru-RU"/>
        </w:rPr>
      </w:pPr>
      <w:r w:rsidRPr="00496CAD">
        <w:rPr>
          <w:rFonts w:ascii="Times New Roman" w:eastAsia="Times New Roman" w:hAnsi="Times New Roman"/>
          <w:sz w:val="28"/>
          <w:szCs w:val="28"/>
          <w:lang w:val="uk-UA" w:eastAsia="ru-RU"/>
        </w:rPr>
        <w:t>Одним із ключових напрямів застосування ШІ є автоматизоване прогнозування макроекономічних показників, зокрема інфляції, ВВП, зайнятості та обмінного курсу. Алгоритми машинного навчання — такі як випадкові ліси (</w:t>
      </w:r>
      <w:proofErr w:type="spellStart"/>
      <w:r>
        <w:rPr>
          <w:rFonts w:ascii="Times New Roman" w:eastAsia="Times New Roman" w:hAnsi="Times New Roman"/>
          <w:sz w:val="28"/>
          <w:szCs w:val="28"/>
          <w:lang w:eastAsia="ru-RU"/>
        </w:rPr>
        <w:t>random</w:t>
      </w:r>
      <w:proofErr w:type="spellEnd"/>
      <w:r w:rsidRPr="00496CAD">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eastAsia="ru-RU"/>
        </w:rPr>
        <w:t>forests</w:t>
      </w:r>
      <w:proofErr w:type="spellEnd"/>
      <w:r w:rsidRPr="00496CAD">
        <w:rPr>
          <w:rFonts w:ascii="Times New Roman" w:eastAsia="Times New Roman" w:hAnsi="Times New Roman"/>
          <w:sz w:val="28"/>
          <w:szCs w:val="28"/>
          <w:lang w:val="uk-UA" w:eastAsia="ru-RU"/>
        </w:rPr>
        <w:t xml:space="preserve">), градієнтний </w:t>
      </w:r>
      <w:proofErr w:type="spellStart"/>
      <w:r w:rsidRPr="00496CAD">
        <w:rPr>
          <w:rFonts w:ascii="Times New Roman" w:eastAsia="Times New Roman" w:hAnsi="Times New Roman"/>
          <w:sz w:val="28"/>
          <w:szCs w:val="28"/>
          <w:lang w:val="uk-UA" w:eastAsia="ru-RU"/>
        </w:rPr>
        <w:t>бустинг</w:t>
      </w:r>
      <w:proofErr w:type="spellEnd"/>
      <w:r w:rsidRPr="00496CAD">
        <w:rPr>
          <w:rFonts w:ascii="Times New Roman" w:eastAsia="Times New Roman" w:hAnsi="Times New Roman"/>
          <w:sz w:val="28"/>
          <w:szCs w:val="28"/>
          <w:lang w:val="uk-UA" w:eastAsia="ru-RU"/>
        </w:rPr>
        <w:t xml:space="preserve"> та нейронні мережі — здатні виявляти нелінійні зв’язки та </w:t>
      </w:r>
      <w:proofErr w:type="spellStart"/>
      <w:r w:rsidRPr="00496CAD">
        <w:rPr>
          <w:rFonts w:ascii="Times New Roman" w:eastAsia="Times New Roman" w:hAnsi="Times New Roman"/>
          <w:sz w:val="28"/>
          <w:szCs w:val="28"/>
          <w:lang w:val="uk-UA" w:eastAsia="ru-RU"/>
        </w:rPr>
        <w:t>патерни</w:t>
      </w:r>
      <w:proofErr w:type="spellEnd"/>
      <w:r w:rsidRPr="00496CAD">
        <w:rPr>
          <w:rFonts w:ascii="Times New Roman" w:eastAsia="Times New Roman" w:hAnsi="Times New Roman"/>
          <w:sz w:val="28"/>
          <w:szCs w:val="28"/>
          <w:lang w:val="uk-UA" w:eastAsia="ru-RU"/>
        </w:rPr>
        <w:t xml:space="preserve"> у великих обсягах структурованих і неструктурованих даних. </w:t>
      </w:r>
      <w:r>
        <w:rPr>
          <w:rFonts w:ascii="Times New Roman" w:eastAsia="Times New Roman" w:hAnsi="Times New Roman"/>
          <w:sz w:val="28"/>
          <w:szCs w:val="28"/>
          <w:lang w:eastAsia="ru-RU"/>
        </w:rPr>
        <w:t xml:space="preserve">Вони </w:t>
      </w:r>
      <w:proofErr w:type="spellStart"/>
      <w:r>
        <w:rPr>
          <w:rFonts w:ascii="Times New Roman" w:eastAsia="Times New Roman" w:hAnsi="Times New Roman"/>
          <w:sz w:val="28"/>
          <w:szCs w:val="28"/>
          <w:lang w:eastAsia="ru-RU"/>
        </w:rPr>
        <w:t>використовуються</w:t>
      </w:r>
      <w:proofErr w:type="spellEnd"/>
      <w:r>
        <w:rPr>
          <w:rFonts w:ascii="Times New Roman" w:eastAsia="Times New Roman" w:hAnsi="Times New Roman"/>
          <w:sz w:val="28"/>
          <w:szCs w:val="28"/>
          <w:lang w:eastAsia="ru-RU"/>
        </w:rPr>
        <w:t xml:space="preserve"> для </w:t>
      </w:r>
      <w:proofErr w:type="spellStart"/>
      <w:r>
        <w:rPr>
          <w:rFonts w:ascii="Times New Roman" w:eastAsia="Times New Roman" w:hAnsi="Times New Roman"/>
          <w:sz w:val="28"/>
          <w:szCs w:val="28"/>
          <w:lang w:eastAsia="ru-RU"/>
        </w:rPr>
        <w:t>побудови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альтернативних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або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допоміжних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прогнозі</w:t>
      </w:r>
      <w:proofErr w:type="gramStart"/>
      <w:r>
        <w:rPr>
          <w:rFonts w:ascii="Times New Roman" w:eastAsia="Times New Roman" w:hAnsi="Times New Roman"/>
          <w:sz w:val="28"/>
          <w:szCs w:val="28"/>
          <w:lang w:eastAsia="ru-RU"/>
        </w:rPr>
        <w:t>в</w:t>
      </w:r>
      <w:proofErr w:type="spellEnd"/>
      <w:proofErr w:type="gramEnd"/>
      <w:r>
        <w:rPr>
          <w:rFonts w:ascii="Times New Roman" w:eastAsia="Times New Roman" w:hAnsi="Times New Roman"/>
          <w:sz w:val="28"/>
          <w:szCs w:val="28"/>
          <w:lang w:eastAsia="ru-RU"/>
        </w:rPr>
        <w:t xml:space="preserve"> до </w:t>
      </w:r>
      <w:proofErr w:type="spellStart"/>
      <w:r>
        <w:rPr>
          <w:rFonts w:ascii="Times New Roman" w:eastAsia="Times New Roman" w:hAnsi="Times New Roman"/>
          <w:sz w:val="28"/>
          <w:szCs w:val="28"/>
          <w:lang w:eastAsia="ru-RU"/>
        </w:rPr>
        <w:t>класичних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структурних</w:t>
      </w:r>
      <w:proofErr w:type="spellEnd"/>
      <w:r>
        <w:rPr>
          <w:rFonts w:ascii="Times New Roman" w:eastAsia="Times New Roman" w:hAnsi="Times New Roman"/>
          <w:sz w:val="28"/>
          <w:szCs w:val="28"/>
          <w:lang w:eastAsia="ru-RU"/>
        </w:rPr>
        <w:t xml:space="preserve"> моделей. </w:t>
      </w:r>
      <w:proofErr w:type="spellStart"/>
      <w:r>
        <w:rPr>
          <w:rFonts w:ascii="Times New Roman" w:eastAsia="Times New Roman" w:hAnsi="Times New Roman"/>
          <w:sz w:val="28"/>
          <w:szCs w:val="28"/>
          <w:lang w:eastAsia="ru-RU"/>
        </w:rPr>
        <w:t>Наприклад</w:t>
      </w:r>
      <w:proofErr w:type="spellEnd"/>
      <w:r>
        <w:rPr>
          <w:rFonts w:ascii="Times New Roman" w:eastAsia="Times New Roman" w:hAnsi="Times New Roman"/>
          <w:sz w:val="28"/>
          <w:szCs w:val="28"/>
          <w:lang w:eastAsia="ru-RU"/>
        </w:rPr>
        <w:t xml:space="preserve">, Банк </w:t>
      </w:r>
      <w:proofErr w:type="spellStart"/>
      <w:proofErr w:type="gramStart"/>
      <w:r>
        <w:rPr>
          <w:rFonts w:ascii="Times New Roman" w:eastAsia="Times New Roman" w:hAnsi="Times New Roman"/>
          <w:sz w:val="28"/>
          <w:szCs w:val="28"/>
          <w:lang w:eastAsia="ru-RU"/>
        </w:rPr>
        <w:t>Англ</w:t>
      </w:r>
      <w:proofErr w:type="gramEnd"/>
      <w:r>
        <w:rPr>
          <w:rFonts w:ascii="Times New Roman" w:eastAsia="Times New Roman" w:hAnsi="Times New Roman"/>
          <w:sz w:val="28"/>
          <w:szCs w:val="28"/>
          <w:lang w:eastAsia="ru-RU"/>
        </w:rPr>
        <w:t>ії</w:t>
      </w:r>
      <w:proofErr w:type="spellEnd"/>
      <w:r>
        <w:rPr>
          <w:rFonts w:ascii="Times New Roman" w:eastAsia="Times New Roman" w:hAnsi="Times New Roman"/>
          <w:sz w:val="28"/>
          <w:szCs w:val="28"/>
          <w:lang w:eastAsia="ru-RU"/>
        </w:rPr>
        <w:t xml:space="preserve"> та ЄЦБ </w:t>
      </w:r>
      <w:proofErr w:type="spellStart"/>
      <w:r>
        <w:rPr>
          <w:rFonts w:ascii="Times New Roman" w:eastAsia="Times New Roman" w:hAnsi="Times New Roman"/>
          <w:sz w:val="28"/>
          <w:szCs w:val="28"/>
          <w:lang w:eastAsia="ru-RU"/>
        </w:rPr>
        <w:t>використовують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ансамблеві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методи</w:t>
      </w:r>
      <w:proofErr w:type="spellEnd"/>
      <w:r>
        <w:rPr>
          <w:rFonts w:ascii="Times New Roman" w:eastAsia="Times New Roman" w:hAnsi="Times New Roman"/>
          <w:sz w:val="28"/>
          <w:szCs w:val="28"/>
          <w:lang w:eastAsia="ru-RU"/>
        </w:rPr>
        <w:t xml:space="preserve"> для </w:t>
      </w:r>
      <w:proofErr w:type="spellStart"/>
      <w:r>
        <w:rPr>
          <w:rFonts w:ascii="Times New Roman" w:eastAsia="Times New Roman" w:hAnsi="Times New Roman"/>
          <w:sz w:val="28"/>
          <w:szCs w:val="28"/>
          <w:lang w:eastAsia="ru-RU"/>
        </w:rPr>
        <w:t>підвищення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точності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короткострокового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прогнозування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інфляційних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трендів</w:t>
      </w:r>
      <w:proofErr w:type="spellEnd"/>
      <w:r>
        <w:rPr>
          <w:rFonts w:ascii="Times New Roman" w:eastAsia="Times New Roman" w:hAnsi="Times New Roman"/>
          <w:sz w:val="28"/>
          <w:szCs w:val="28"/>
          <w:lang w:eastAsia="ru-RU"/>
        </w:rPr>
        <w:t>.</w:t>
      </w:r>
    </w:p>
    <w:p w:rsidR="00496CAD" w:rsidRDefault="00496CAD" w:rsidP="00496CAD">
      <w:pPr>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Іншим</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важливим</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напрямом</w:t>
      </w:r>
      <w:proofErr w:type="spellEnd"/>
      <w:r>
        <w:rPr>
          <w:rFonts w:ascii="Times New Roman" w:eastAsia="Times New Roman" w:hAnsi="Times New Roman"/>
          <w:sz w:val="28"/>
          <w:szCs w:val="28"/>
          <w:lang w:eastAsia="ru-RU"/>
        </w:rPr>
        <w:t xml:space="preserve"> є </w:t>
      </w:r>
      <w:proofErr w:type="spellStart"/>
      <w:r>
        <w:rPr>
          <w:rFonts w:ascii="Times New Roman" w:eastAsia="Times New Roman" w:hAnsi="Times New Roman"/>
          <w:sz w:val="28"/>
          <w:szCs w:val="28"/>
          <w:lang w:eastAsia="ru-RU"/>
        </w:rPr>
        <w:t>аналітика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текстових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даних</w:t>
      </w:r>
      <w:proofErr w:type="spellEnd"/>
      <w:r>
        <w:rPr>
          <w:rFonts w:ascii="Times New Roman" w:eastAsia="Times New Roman" w:hAnsi="Times New Roman"/>
          <w:sz w:val="28"/>
          <w:szCs w:val="28"/>
          <w:lang w:eastAsia="ru-RU"/>
        </w:rPr>
        <w:t xml:space="preserve"> (NLP — </w:t>
      </w:r>
      <w:proofErr w:type="spellStart"/>
      <w:r>
        <w:rPr>
          <w:rFonts w:ascii="Times New Roman" w:eastAsia="Times New Roman" w:hAnsi="Times New Roman"/>
          <w:sz w:val="28"/>
          <w:szCs w:val="28"/>
          <w:lang w:eastAsia="ru-RU"/>
        </w:rPr>
        <w:t>Natural</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Language</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Processing</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що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дозволяє</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аналізувати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економічні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новини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виступи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політиків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публічні</w:t>
      </w:r>
      <w:proofErr w:type="spellEnd"/>
      <w:r>
        <w:rPr>
          <w:rFonts w:ascii="Times New Roman" w:eastAsia="Times New Roman" w:hAnsi="Times New Roman"/>
          <w:sz w:val="28"/>
          <w:szCs w:val="28"/>
          <w:lang w:eastAsia="ru-RU"/>
        </w:rPr>
        <w:t xml:space="preserve"> заяви та </w:t>
      </w:r>
      <w:proofErr w:type="spellStart"/>
      <w:r>
        <w:rPr>
          <w:rFonts w:ascii="Times New Roman" w:eastAsia="Times New Roman" w:hAnsi="Times New Roman"/>
          <w:sz w:val="28"/>
          <w:szCs w:val="28"/>
          <w:lang w:eastAsia="ru-RU"/>
        </w:rPr>
        <w:t>коментарі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ринків</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Ш</w:t>
      </w:r>
      <w:proofErr w:type="gramEnd"/>
      <w:r>
        <w:rPr>
          <w:rFonts w:ascii="Times New Roman" w:eastAsia="Times New Roman" w:hAnsi="Times New Roman"/>
          <w:sz w:val="28"/>
          <w:szCs w:val="28"/>
          <w:lang w:eastAsia="ru-RU"/>
        </w:rPr>
        <w:t xml:space="preserve">І </w:t>
      </w:r>
      <w:proofErr w:type="spellStart"/>
      <w:r>
        <w:rPr>
          <w:rFonts w:ascii="Times New Roman" w:eastAsia="Times New Roman" w:hAnsi="Times New Roman"/>
          <w:sz w:val="28"/>
          <w:szCs w:val="28"/>
          <w:lang w:eastAsia="ru-RU"/>
        </w:rPr>
        <w:t>здатний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визначати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тональність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повідомлень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sentiment</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analysis</w:t>
      </w:r>
      <w:proofErr w:type="spellEnd"/>
      <w:r>
        <w:rPr>
          <w:rFonts w:ascii="Times New Roman" w:eastAsia="Times New Roman" w:hAnsi="Times New Roman"/>
          <w:sz w:val="28"/>
          <w:szCs w:val="28"/>
          <w:lang w:eastAsia="ru-RU"/>
        </w:rPr>
        <w:t xml:space="preserve">), частоту </w:t>
      </w:r>
      <w:proofErr w:type="spellStart"/>
      <w:r>
        <w:rPr>
          <w:rFonts w:ascii="Times New Roman" w:eastAsia="Times New Roman" w:hAnsi="Times New Roman"/>
          <w:sz w:val="28"/>
          <w:szCs w:val="28"/>
          <w:lang w:eastAsia="ru-RU"/>
        </w:rPr>
        <w:t>вживання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термінів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що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сигналізують</w:t>
      </w:r>
      <w:proofErr w:type="spellEnd"/>
      <w:r>
        <w:rPr>
          <w:rFonts w:ascii="Times New Roman" w:eastAsia="Times New Roman" w:hAnsi="Times New Roman"/>
          <w:sz w:val="28"/>
          <w:szCs w:val="28"/>
          <w:lang w:eastAsia="ru-RU"/>
        </w:rPr>
        <w:t xml:space="preserve"> про </w:t>
      </w:r>
      <w:proofErr w:type="spellStart"/>
      <w:r>
        <w:rPr>
          <w:rFonts w:ascii="Times New Roman" w:eastAsia="Times New Roman" w:hAnsi="Times New Roman"/>
          <w:sz w:val="28"/>
          <w:szCs w:val="28"/>
          <w:lang w:eastAsia="ru-RU"/>
        </w:rPr>
        <w:t>очікування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змін</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монетарної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політики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Наприклад</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аналіз</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lastRenderedPageBreak/>
        <w:t>виступів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голови</w:t>
      </w:r>
      <w:proofErr w:type="spellEnd"/>
      <w:r>
        <w:rPr>
          <w:rFonts w:ascii="Times New Roman" w:eastAsia="Times New Roman" w:hAnsi="Times New Roman"/>
          <w:sz w:val="28"/>
          <w:szCs w:val="28"/>
          <w:lang w:eastAsia="ru-RU"/>
        </w:rPr>
        <w:t xml:space="preserve"> ФРС </w:t>
      </w:r>
      <w:proofErr w:type="spellStart"/>
      <w:r>
        <w:rPr>
          <w:rFonts w:ascii="Times New Roman" w:eastAsia="Times New Roman" w:hAnsi="Times New Roman"/>
          <w:sz w:val="28"/>
          <w:szCs w:val="28"/>
          <w:lang w:eastAsia="ru-RU"/>
        </w:rPr>
        <w:t>або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прес-релізів</w:t>
      </w:r>
      <w:proofErr w:type="spellEnd"/>
      <w:r>
        <w:rPr>
          <w:rFonts w:ascii="Times New Roman" w:eastAsia="Times New Roman" w:hAnsi="Times New Roman"/>
          <w:sz w:val="28"/>
          <w:szCs w:val="28"/>
          <w:lang w:eastAsia="ru-RU"/>
        </w:rPr>
        <w:t xml:space="preserve"> ЦБ </w:t>
      </w:r>
      <w:proofErr w:type="spellStart"/>
      <w:r>
        <w:rPr>
          <w:rFonts w:ascii="Times New Roman" w:eastAsia="Times New Roman" w:hAnsi="Times New Roman"/>
          <w:sz w:val="28"/>
          <w:szCs w:val="28"/>
          <w:lang w:eastAsia="ru-RU"/>
        </w:rPr>
        <w:t>може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забезпечити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швидкий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зворотний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зв’язок</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щодо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сприйняття</w:t>
      </w:r>
      <w:proofErr w:type="spellEnd"/>
      <w:r>
        <w:rPr>
          <w:rFonts w:ascii="Times New Roman" w:eastAsia="Times New Roman" w:hAnsi="Times New Roman"/>
          <w:sz w:val="28"/>
          <w:szCs w:val="28"/>
          <w:lang w:eastAsia="ru-RU"/>
        </w:rPr>
        <w:t xml:space="preserve"> ринком </w:t>
      </w:r>
      <w:proofErr w:type="spellStart"/>
      <w:r>
        <w:rPr>
          <w:rFonts w:ascii="Times New Roman" w:eastAsia="Times New Roman" w:hAnsi="Times New Roman"/>
          <w:sz w:val="28"/>
          <w:szCs w:val="28"/>
          <w:lang w:eastAsia="ru-RU"/>
        </w:rPr>
        <w:t>окремих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сигналі</w:t>
      </w:r>
      <w:proofErr w:type="gramStart"/>
      <w:r>
        <w:rPr>
          <w:rFonts w:ascii="Times New Roman" w:eastAsia="Times New Roman" w:hAnsi="Times New Roman"/>
          <w:sz w:val="28"/>
          <w:szCs w:val="28"/>
          <w:lang w:eastAsia="ru-RU"/>
        </w:rPr>
        <w:t>в</w:t>
      </w:r>
      <w:proofErr w:type="spellEnd"/>
      <w:proofErr w:type="gramEnd"/>
      <w:r>
        <w:rPr>
          <w:rFonts w:ascii="Times New Roman" w:eastAsia="Times New Roman" w:hAnsi="Times New Roman"/>
          <w:sz w:val="28"/>
          <w:szCs w:val="28"/>
          <w:lang w:eastAsia="ru-RU"/>
        </w:rPr>
        <w:t>.</w:t>
      </w:r>
    </w:p>
    <w:p w:rsidR="00496CAD" w:rsidRDefault="00496CAD" w:rsidP="00496CAD">
      <w:pPr>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Особливе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значення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має</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застосування</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Ш</w:t>
      </w:r>
      <w:proofErr w:type="gramEnd"/>
      <w:r>
        <w:rPr>
          <w:rFonts w:ascii="Times New Roman" w:eastAsia="Times New Roman" w:hAnsi="Times New Roman"/>
          <w:sz w:val="28"/>
          <w:szCs w:val="28"/>
          <w:lang w:eastAsia="ru-RU"/>
        </w:rPr>
        <w:t xml:space="preserve">І у </w:t>
      </w:r>
      <w:proofErr w:type="spellStart"/>
      <w:r>
        <w:rPr>
          <w:rFonts w:ascii="Times New Roman" w:eastAsia="Times New Roman" w:hAnsi="Times New Roman"/>
          <w:sz w:val="28"/>
          <w:szCs w:val="28"/>
          <w:lang w:eastAsia="ru-RU"/>
        </w:rPr>
        <w:t>моделюванні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системних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фінансових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ризиків</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шокових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сценаріїв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Алгоритми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здатні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обробляти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мільйони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транзакційних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записів</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фінансових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потоків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виявляючи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потенційні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ланцюгові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ефекти</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вузькі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місця</w:t>
      </w:r>
      <w:proofErr w:type="spellEnd"/>
      <w:r>
        <w:rPr>
          <w:rFonts w:ascii="Times New Roman" w:eastAsia="Times New Roman" w:hAnsi="Times New Roman"/>
          <w:sz w:val="28"/>
          <w:szCs w:val="28"/>
          <w:lang w:eastAsia="ru-RU"/>
        </w:rPr>
        <w:t xml:space="preserve"> у </w:t>
      </w:r>
      <w:proofErr w:type="spellStart"/>
      <w:r>
        <w:rPr>
          <w:rFonts w:ascii="Times New Roman" w:eastAsia="Times New Roman" w:hAnsi="Times New Roman"/>
          <w:sz w:val="28"/>
          <w:szCs w:val="28"/>
          <w:lang w:eastAsia="ru-RU"/>
        </w:rPr>
        <w:t>фінансовій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системі</w:t>
      </w:r>
      <w:proofErr w:type="spellEnd"/>
      <w:r>
        <w:rPr>
          <w:rFonts w:ascii="Times New Roman" w:eastAsia="Times New Roman" w:hAnsi="Times New Roman"/>
          <w:sz w:val="28"/>
          <w:szCs w:val="28"/>
          <w:lang w:eastAsia="ru-RU"/>
        </w:rPr>
        <w:t xml:space="preserve">. В </w:t>
      </w:r>
      <w:proofErr w:type="spellStart"/>
      <w:r>
        <w:rPr>
          <w:rFonts w:ascii="Times New Roman" w:eastAsia="Times New Roman" w:hAnsi="Times New Roman"/>
          <w:sz w:val="28"/>
          <w:szCs w:val="28"/>
          <w:lang w:eastAsia="ru-RU"/>
        </w:rPr>
        <w:t>умовах</w:t>
      </w:r>
      <w:proofErr w:type="spellEnd"/>
      <w:r>
        <w:rPr>
          <w:rFonts w:ascii="Times New Roman" w:eastAsia="Times New Roman" w:hAnsi="Times New Roman"/>
          <w:sz w:val="28"/>
          <w:szCs w:val="28"/>
          <w:lang w:eastAsia="ru-RU"/>
        </w:rPr>
        <w:t xml:space="preserve"> криз, таких як </w:t>
      </w:r>
      <w:proofErr w:type="spellStart"/>
      <w:r>
        <w:rPr>
          <w:rFonts w:ascii="Times New Roman" w:eastAsia="Times New Roman" w:hAnsi="Times New Roman"/>
          <w:sz w:val="28"/>
          <w:szCs w:val="28"/>
          <w:lang w:eastAsia="ru-RU"/>
        </w:rPr>
        <w:t>пандемія</w:t>
      </w:r>
      <w:proofErr w:type="spellEnd"/>
      <w:r>
        <w:rPr>
          <w:rFonts w:ascii="Times New Roman" w:eastAsia="Times New Roman" w:hAnsi="Times New Roman"/>
          <w:sz w:val="28"/>
          <w:szCs w:val="28"/>
          <w:lang w:eastAsia="ru-RU"/>
        </w:rPr>
        <w:t xml:space="preserve"> COVID-19 </w:t>
      </w:r>
      <w:proofErr w:type="spellStart"/>
      <w:r>
        <w:rPr>
          <w:rFonts w:ascii="Times New Roman" w:eastAsia="Times New Roman" w:hAnsi="Times New Roman"/>
          <w:sz w:val="28"/>
          <w:szCs w:val="28"/>
          <w:lang w:eastAsia="ru-RU"/>
        </w:rPr>
        <w:t>або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енергетичні</w:t>
      </w:r>
      <w:proofErr w:type="spellEnd"/>
      <w:r>
        <w:rPr>
          <w:rFonts w:ascii="Times New Roman" w:eastAsia="Times New Roman" w:hAnsi="Times New Roman"/>
          <w:sz w:val="28"/>
          <w:szCs w:val="28"/>
          <w:lang w:eastAsia="ru-RU"/>
        </w:rPr>
        <w:t xml:space="preserve"> шоки, </w:t>
      </w:r>
      <w:proofErr w:type="spellStart"/>
      <w:r>
        <w:rPr>
          <w:rFonts w:ascii="Times New Roman" w:eastAsia="Times New Roman" w:hAnsi="Times New Roman"/>
          <w:sz w:val="28"/>
          <w:szCs w:val="28"/>
          <w:lang w:eastAsia="ru-RU"/>
        </w:rPr>
        <w:t>машинне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навчання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дозволяє</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центральним</w:t>
      </w:r>
      <w:proofErr w:type="spellEnd"/>
      <w:r>
        <w:rPr>
          <w:rFonts w:ascii="Times New Roman" w:eastAsia="Times New Roman" w:hAnsi="Times New Roman"/>
          <w:sz w:val="28"/>
          <w:szCs w:val="28"/>
          <w:lang w:eastAsia="ru-RU"/>
        </w:rPr>
        <w:t xml:space="preserve"> банкам оперативно </w:t>
      </w:r>
      <w:proofErr w:type="spellStart"/>
      <w:r>
        <w:rPr>
          <w:rFonts w:ascii="Times New Roman" w:eastAsia="Times New Roman" w:hAnsi="Times New Roman"/>
          <w:sz w:val="28"/>
          <w:szCs w:val="28"/>
          <w:lang w:eastAsia="ru-RU"/>
        </w:rPr>
        <w:t>моделювати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альтернативні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сценарії</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оцінювати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вплив</w:t>
      </w:r>
      <w:proofErr w:type="spellEnd"/>
      <w:r>
        <w:rPr>
          <w:rFonts w:ascii="Times New Roman" w:eastAsia="Times New Roman" w:hAnsi="Times New Roman"/>
          <w:sz w:val="28"/>
          <w:szCs w:val="28"/>
          <w:lang w:eastAsia="ru-RU"/>
        </w:rPr>
        <w:t xml:space="preserve"> </w:t>
      </w:r>
      <w:proofErr w:type="spellStart"/>
      <w:proofErr w:type="gramStart"/>
      <w:r>
        <w:rPr>
          <w:rFonts w:ascii="Times New Roman" w:eastAsia="Times New Roman" w:hAnsi="Times New Roman"/>
          <w:sz w:val="28"/>
          <w:szCs w:val="28"/>
          <w:lang w:eastAsia="ru-RU"/>
        </w:rPr>
        <w:t>р</w:t>
      </w:r>
      <w:proofErr w:type="gramEnd"/>
      <w:r>
        <w:rPr>
          <w:rFonts w:ascii="Times New Roman" w:eastAsia="Times New Roman" w:hAnsi="Times New Roman"/>
          <w:sz w:val="28"/>
          <w:szCs w:val="28"/>
          <w:lang w:eastAsia="ru-RU"/>
        </w:rPr>
        <w:t>ізних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заходів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політики</w:t>
      </w:r>
      <w:proofErr w:type="spellEnd"/>
      <w:r>
        <w:rPr>
          <w:rFonts w:ascii="Times New Roman" w:eastAsia="Times New Roman" w:hAnsi="Times New Roman"/>
          <w:sz w:val="28"/>
          <w:szCs w:val="28"/>
          <w:lang w:eastAsia="ru-RU"/>
        </w:rPr>
        <w:t>.</w:t>
      </w:r>
    </w:p>
    <w:p w:rsidR="00496CAD" w:rsidRDefault="00496CAD" w:rsidP="00496CAD">
      <w:pPr>
        <w:spacing w:after="0" w:line="240" w:lineRule="auto"/>
        <w:ind w:firstLine="709"/>
        <w:jc w:val="both"/>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Кр</w:t>
      </w:r>
      <w:proofErr w:type="gramEnd"/>
      <w:r>
        <w:rPr>
          <w:rFonts w:ascii="Times New Roman" w:eastAsia="Times New Roman" w:hAnsi="Times New Roman"/>
          <w:sz w:val="28"/>
          <w:szCs w:val="28"/>
          <w:lang w:eastAsia="ru-RU"/>
        </w:rPr>
        <w:t>ім</w:t>
      </w:r>
      <w:proofErr w:type="spellEnd"/>
      <w:r>
        <w:rPr>
          <w:rFonts w:ascii="Times New Roman" w:eastAsia="Times New Roman" w:hAnsi="Times New Roman"/>
          <w:sz w:val="28"/>
          <w:szCs w:val="28"/>
          <w:lang w:eastAsia="ru-RU"/>
        </w:rPr>
        <w:t xml:space="preserve"> того, </w:t>
      </w:r>
      <w:proofErr w:type="spellStart"/>
      <w:r>
        <w:rPr>
          <w:rFonts w:ascii="Times New Roman" w:eastAsia="Times New Roman" w:hAnsi="Times New Roman"/>
          <w:sz w:val="28"/>
          <w:szCs w:val="28"/>
          <w:lang w:eastAsia="ru-RU"/>
        </w:rPr>
        <w:t>штучний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інтелект</w:t>
      </w:r>
      <w:proofErr w:type="spellEnd"/>
      <w:r>
        <w:rPr>
          <w:rFonts w:ascii="Times New Roman" w:eastAsia="Times New Roman" w:hAnsi="Times New Roman"/>
          <w:sz w:val="28"/>
          <w:szCs w:val="28"/>
          <w:lang w:eastAsia="ru-RU"/>
        </w:rPr>
        <w:t xml:space="preserve"> активно </w:t>
      </w:r>
      <w:proofErr w:type="spellStart"/>
      <w:r>
        <w:rPr>
          <w:rFonts w:ascii="Times New Roman" w:eastAsia="Times New Roman" w:hAnsi="Times New Roman"/>
          <w:sz w:val="28"/>
          <w:szCs w:val="28"/>
          <w:lang w:eastAsia="ru-RU"/>
        </w:rPr>
        <w:t>інтегрується</w:t>
      </w:r>
      <w:proofErr w:type="spellEnd"/>
      <w:r>
        <w:rPr>
          <w:rFonts w:ascii="Times New Roman" w:eastAsia="Times New Roman" w:hAnsi="Times New Roman"/>
          <w:sz w:val="28"/>
          <w:szCs w:val="28"/>
          <w:lang w:eastAsia="ru-RU"/>
        </w:rPr>
        <w:t xml:space="preserve"> у </w:t>
      </w:r>
      <w:proofErr w:type="spellStart"/>
      <w:r>
        <w:rPr>
          <w:rFonts w:ascii="Times New Roman" w:eastAsia="Times New Roman" w:hAnsi="Times New Roman"/>
          <w:sz w:val="28"/>
          <w:szCs w:val="28"/>
          <w:lang w:eastAsia="ru-RU"/>
        </w:rPr>
        <w:t>моніторинг</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фінансової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стабільності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зокрема</w:t>
      </w:r>
      <w:proofErr w:type="spellEnd"/>
      <w:r>
        <w:rPr>
          <w:rFonts w:ascii="Times New Roman" w:eastAsia="Times New Roman" w:hAnsi="Times New Roman"/>
          <w:sz w:val="28"/>
          <w:szCs w:val="28"/>
          <w:lang w:eastAsia="ru-RU"/>
        </w:rPr>
        <w:t xml:space="preserve"> через </w:t>
      </w:r>
      <w:proofErr w:type="spellStart"/>
      <w:r>
        <w:rPr>
          <w:rFonts w:ascii="Times New Roman" w:eastAsia="Times New Roman" w:hAnsi="Times New Roman"/>
          <w:sz w:val="28"/>
          <w:szCs w:val="28"/>
          <w:lang w:eastAsia="ru-RU"/>
        </w:rPr>
        <w:t>аналіз</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поведінки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банків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небанківських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установ</w:t>
      </w:r>
      <w:proofErr w:type="spellEnd"/>
      <w:r>
        <w:rPr>
          <w:rFonts w:ascii="Times New Roman" w:eastAsia="Times New Roman" w:hAnsi="Times New Roman"/>
          <w:sz w:val="28"/>
          <w:szCs w:val="28"/>
          <w:lang w:eastAsia="ru-RU"/>
        </w:rPr>
        <w:t xml:space="preserve"> і </w:t>
      </w:r>
      <w:proofErr w:type="spellStart"/>
      <w:r>
        <w:rPr>
          <w:rFonts w:ascii="Times New Roman" w:eastAsia="Times New Roman" w:hAnsi="Times New Roman"/>
          <w:sz w:val="28"/>
          <w:szCs w:val="28"/>
          <w:lang w:eastAsia="ru-RU"/>
        </w:rPr>
        <w:t>платіжних</w:t>
      </w:r>
      <w:proofErr w:type="spellEnd"/>
      <w:r>
        <w:rPr>
          <w:rFonts w:ascii="Times New Roman" w:eastAsia="Times New Roman" w:hAnsi="Times New Roman"/>
          <w:sz w:val="28"/>
          <w:szCs w:val="28"/>
          <w:lang w:eastAsia="ru-RU"/>
        </w:rPr>
        <w:t xml:space="preserve"> систем. </w:t>
      </w:r>
      <w:proofErr w:type="spellStart"/>
      <w:r>
        <w:rPr>
          <w:rFonts w:ascii="Times New Roman" w:eastAsia="Times New Roman" w:hAnsi="Times New Roman"/>
          <w:sz w:val="28"/>
          <w:szCs w:val="28"/>
          <w:lang w:eastAsia="ru-RU"/>
        </w:rPr>
        <w:t>Наприклад</w:t>
      </w:r>
      <w:proofErr w:type="spellEnd"/>
      <w:r>
        <w:rPr>
          <w:rFonts w:ascii="Times New Roman" w:eastAsia="Times New Roman" w:hAnsi="Times New Roman"/>
          <w:sz w:val="28"/>
          <w:szCs w:val="28"/>
          <w:lang w:eastAsia="ru-RU"/>
        </w:rPr>
        <w:t xml:space="preserve">, система </w:t>
      </w:r>
      <w:proofErr w:type="spellStart"/>
      <w:r>
        <w:rPr>
          <w:rFonts w:ascii="Times New Roman" w:eastAsia="Times New Roman" w:hAnsi="Times New Roman"/>
          <w:sz w:val="28"/>
          <w:szCs w:val="28"/>
          <w:lang w:eastAsia="ru-RU"/>
        </w:rPr>
        <w:t>може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ідентифікувати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аномальні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операції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що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потенційно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вказують</w:t>
      </w:r>
      <w:proofErr w:type="spellEnd"/>
      <w:r>
        <w:rPr>
          <w:rFonts w:ascii="Times New Roman" w:eastAsia="Times New Roman" w:hAnsi="Times New Roman"/>
          <w:sz w:val="28"/>
          <w:szCs w:val="28"/>
          <w:lang w:eastAsia="ru-RU"/>
        </w:rPr>
        <w:t xml:space="preserve"> на </w:t>
      </w:r>
      <w:proofErr w:type="spellStart"/>
      <w:r>
        <w:rPr>
          <w:rFonts w:ascii="Times New Roman" w:eastAsia="Times New Roman" w:hAnsi="Times New Roman"/>
          <w:sz w:val="28"/>
          <w:szCs w:val="28"/>
          <w:lang w:eastAsia="ru-RU"/>
        </w:rPr>
        <w:t>втрату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ліквідності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чи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ринкову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нестабільність</w:t>
      </w:r>
      <w:proofErr w:type="spellEnd"/>
      <w:r>
        <w:rPr>
          <w:rFonts w:ascii="Times New Roman" w:eastAsia="Times New Roman" w:hAnsi="Times New Roman"/>
          <w:sz w:val="28"/>
          <w:szCs w:val="28"/>
          <w:lang w:eastAsia="ru-RU"/>
        </w:rPr>
        <w:t xml:space="preserve">. У </w:t>
      </w:r>
      <w:proofErr w:type="spellStart"/>
      <w:r>
        <w:rPr>
          <w:rFonts w:ascii="Times New Roman" w:eastAsia="Times New Roman" w:hAnsi="Times New Roman"/>
          <w:sz w:val="28"/>
          <w:szCs w:val="28"/>
          <w:lang w:eastAsia="ru-RU"/>
        </w:rPr>
        <w:t>поєднанні</w:t>
      </w:r>
      <w:proofErr w:type="spellEnd"/>
      <w:r>
        <w:rPr>
          <w:rFonts w:ascii="Times New Roman" w:eastAsia="Times New Roman" w:hAnsi="Times New Roman"/>
          <w:sz w:val="28"/>
          <w:szCs w:val="28"/>
          <w:lang w:eastAsia="ru-RU"/>
        </w:rPr>
        <w:t xml:space="preserve"> з </w:t>
      </w:r>
      <w:proofErr w:type="spellStart"/>
      <w:r>
        <w:rPr>
          <w:rFonts w:ascii="Times New Roman" w:eastAsia="Times New Roman" w:hAnsi="Times New Roman"/>
          <w:sz w:val="28"/>
          <w:szCs w:val="28"/>
          <w:lang w:eastAsia="ru-RU"/>
        </w:rPr>
        <w:t>big</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data</w:t>
      </w:r>
      <w:proofErr w:type="spellEnd"/>
      <w:r>
        <w:rPr>
          <w:rFonts w:ascii="Times New Roman" w:eastAsia="Times New Roman" w:hAnsi="Times New Roman"/>
          <w:sz w:val="28"/>
          <w:szCs w:val="28"/>
          <w:lang w:eastAsia="ru-RU"/>
        </w:rPr>
        <w:t xml:space="preserve"> з </w:t>
      </w:r>
      <w:proofErr w:type="spellStart"/>
      <w:r>
        <w:rPr>
          <w:rFonts w:ascii="Times New Roman" w:eastAsia="Times New Roman" w:hAnsi="Times New Roman"/>
          <w:sz w:val="28"/>
          <w:szCs w:val="28"/>
          <w:lang w:eastAsia="ru-RU"/>
        </w:rPr>
        <w:t>фінансових</w:t>
      </w:r>
      <w:proofErr w:type="spellEnd"/>
      <w:r>
        <w:rPr>
          <w:rFonts w:ascii="Times New Roman" w:eastAsia="Times New Roman" w:hAnsi="Times New Roman"/>
          <w:sz w:val="28"/>
          <w:szCs w:val="28"/>
          <w:lang w:eastAsia="ru-RU"/>
        </w:rPr>
        <w:t xml:space="preserve"> платформ, </w:t>
      </w:r>
      <w:proofErr w:type="gramStart"/>
      <w:r>
        <w:rPr>
          <w:rFonts w:ascii="Times New Roman" w:eastAsia="Times New Roman" w:hAnsi="Times New Roman"/>
          <w:sz w:val="28"/>
          <w:szCs w:val="28"/>
          <w:lang w:eastAsia="ru-RU"/>
        </w:rPr>
        <w:t>Ш</w:t>
      </w:r>
      <w:proofErr w:type="gramEnd"/>
      <w:r>
        <w:rPr>
          <w:rFonts w:ascii="Times New Roman" w:eastAsia="Times New Roman" w:hAnsi="Times New Roman"/>
          <w:sz w:val="28"/>
          <w:szCs w:val="28"/>
          <w:lang w:eastAsia="ru-RU"/>
        </w:rPr>
        <w:t xml:space="preserve">І </w:t>
      </w:r>
      <w:proofErr w:type="spellStart"/>
      <w:r>
        <w:rPr>
          <w:rFonts w:ascii="Times New Roman" w:eastAsia="Times New Roman" w:hAnsi="Times New Roman"/>
          <w:sz w:val="28"/>
          <w:szCs w:val="28"/>
          <w:lang w:eastAsia="ru-RU"/>
        </w:rPr>
        <w:t>створює</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ефективне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середовище</w:t>
      </w:r>
      <w:proofErr w:type="spellEnd"/>
      <w:r>
        <w:rPr>
          <w:rFonts w:ascii="Times New Roman" w:eastAsia="Times New Roman" w:hAnsi="Times New Roman"/>
          <w:sz w:val="28"/>
          <w:szCs w:val="28"/>
          <w:lang w:eastAsia="ru-RU"/>
        </w:rPr>
        <w:t xml:space="preserve"> для </w:t>
      </w:r>
      <w:proofErr w:type="spellStart"/>
      <w:r>
        <w:rPr>
          <w:rFonts w:ascii="Times New Roman" w:eastAsia="Times New Roman" w:hAnsi="Times New Roman"/>
          <w:sz w:val="28"/>
          <w:szCs w:val="28"/>
          <w:lang w:eastAsia="ru-RU"/>
        </w:rPr>
        <w:t>проактивного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нагляду</w:t>
      </w:r>
      <w:proofErr w:type="spellEnd"/>
      <w:r>
        <w:rPr>
          <w:rFonts w:ascii="Times New Roman" w:eastAsia="Times New Roman" w:hAnsi="Times New Roman"/>
          <w:sz w:val="28"/>
          <w:szCs w:val="28"/>
          <w:lang w:eastAsia="ru-RU"/>
        </w:rPr>
        <w:t>.</w:t>
      </w:r>
    </w:p>
    <w:p w:rsidR="00496CAD" w:rsidRDefault="00496CAD" w:rsidP="00496CA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 </w:t>
      </w:r>
      <w:proofErr w:type="spellStart"/>
      <w:r>
        <w:rPr>
          <w:rFonts w:ascii="Times New Roman" w:eastAsia="Times New Roman" w:hAnsi="Times New Roman"/>
          <w:sz w:val="28"/>
          <w:szCs w:val="28"/>
          <w:lang w:eastAsia="ru-RU"/>
        </w:rPr>
        <w:t>менш</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важливою</w:t>
      </w:r>
      <w:proofErr w:type="spellEnd"/>
      <w:r>
        <w:rPr>
          <w:rFonts w:ascii="Times New Roman" w:eastAsia="Times New Roman" w:hAnsi="Times New Roman"/>
          <w:sz w:val="28"/>
          <w:szCs w:val="28"/>
          <w:lang w:eastAsia="ru-RU"/>
        </w:rPr>
        <w:t xml:space="preserve"> є роль </w:t>
      </w:r>
      <w:proofErr w:type="gramStart"/>
      <w:r>
        <w:rPr>
          <w:rFonts w:ascii="Times New Roman" w:eastAsia="Times New Roman" w:hAnsi="Times New Roman"/>
          <w:sz w:val="28"/>
          <w:szCs w:val="28"/>
          <w:lang w:eastAsia="ru-RU"/>
        </w:rPr>
        <w:t>штучного</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інтелекту</w:t>
      </w:r>
      <w:proofErr w:type="spellEnd"/>
      <w:r>
        <w:rPr>
          <w:rFonts w:ascii="Times New Roman" w:eastAsia="Times New Roman" w:hAnsi="Times New Roman"/>
          <w:sz w:val="28"/>
          <w:szCs w:val="28"/>
          <w:lang w:eastAsia="ru-RU"/>
        </w:rPr>
        <w:t xml:space="preserve"> у </w:t>
      </w:r>
      <w:proofErr w:type="spellStart"/>
      <w:r>
        <w:rPr>
          <w:rFonts w:ascii="Times New Roman" w:eastAsia="Times New Roman" w:hAnsi="Times New Roman"/>
          <w:sz w:val="28"/>
          <w:szCs w:val="28"/>
          <w:lang w:eastAsia="ru-RU"/>
        </w:rPr>
        <w:t>розробці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політики</w:t>
      </w:r>
      <w:proofErr w:type="spellEnd"/>
      <w:r>
        <w:rPr>
          <w:rFonts w:ascii="Times New Roman" w:eastAsia="Times New Roman" w:hAnsi="Times New Roman"/>
          <w:sz w:val="28"/>
          <w:szCs w:val="28"/>
          <w:lang w:eastAsia="ru-RU"/>
        </w:rPr>
        <w:t xml:space="preserve"> центрального банку. </w:t>
      </w:r>
      <w:proofErr w:type="spellStart"/>
      <w:r>
        <w:rPr>
          <w:rFonts w:ascii="Times New Roman" w:eastAsia="Times New Roman" w:hAnsi="Times New Roman"/>
          <w:sz w:val="28"/>
          <w:szCs w:val="28"/>
          <w:lang w:eastAsia="ru-RU"/>
        </w:rPr>
        <w:t>Сучасні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цифрові</w:t>
      </w:r>
      <w:proofErr w:type="spellEnd"/>
      <w:r>
        <w:rPr>
          <w:rFonts w:ascii="Times New Roman" w:eastAsia="Times New Roman" w:hAnsi="Times New Roman"/>
          <w:sz w:val="28"/>
          <w:szCs w:val="28"/>
          <w:lang w:eastAsia="ru-RU"/>
        </w:rPr>
        <w:t xml:space="preserve"> "</w:t>
      </w:r>
      <w:proofErr w:type="spellStart"/>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ісочниці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які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створюють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центробанки</w:t>
      </w:r>
      <w:proofErr w:type="spellEnd"/>
      <w:r>
        <w:rPr>
          <w:rFonts w:ascii="Times New Roman" w:eastAsia="Times New Roman" w:hAnsi="Times New Roman"/>
          <w:sz w:val="28"/>
          <w:szCs w:val="28"/>
          <w:lang w:eastAsia="ru-RU"/>
        </w:rPr>
        <w:t xml:space="preserve"> для </w:t>
      </w:r>
      <w:proofErr w:type="spellStart"/>
      <w:r>
        <w:rPr>
          <w:rFonts w:ascii="Times New Roman" w:eastAsia="Times New Roman" w:hAnsi="Times New Roman"/>
          <w:sz w:val="28"/>
          <w:szCs w:val="28"/>
          <w:lang w:eastAsia="ru-RU"/>
        </w:rPr>
        <w:t>тестування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фінтех-рішень</w:t>
      </w:r>
      <w:proofErr w:type="spellEnd"/>
      <w:r>
        <w:rPr>
          <w:rFonts w:ascii="Times New Roman" w:eastAsia="Times New Roman" w:hAnsi="Times New Roman"/>
          <w:sz w:val="28"/>
          <w:szCs w:val="28"/>
          <w:lang w:eastAsia="ru-RU"/>
        </w:rPr>
        <w:t xml:space="preserve">, часто </w:t>
      </w:r>
      <w:proofErr w:type="spellStart"/>
      <w:r>
        <w:rPr>
          <w:rFonts w:ascii="Times New Roman" w:eastAsia="Times New Roman" w:hAnsi="Times New Roman"/>
          <w:sz w:val="28"/>
          <w:szCs w:val="28"/>
          <w:lang w:eastAsia="ru-RU"/>
        </w:rPr>
        <w:t>включають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інструменти</w:t>
      </w:r>
      <w:proofErr w:type="spellEnd"/>
      <w:r>
        <w:rPr>
          <w:rFonts w:ascii="Times New Roman" w:eastAsia="Times New Roman" w:hAnsi="Times New Roman"/>
          <w:sz w:val="28"/>
          <w:szCs w:val="28"/>
          <w:lang w:eastAsia="ru-RU"/>
        </w:rPr>
        <w:t xml:space="preserve"> ШІ для </w:t>
      </w:r>
      <w:proofErr w:type="spellStart"/>
      <w:r>
        <w:rPr>
          <w:rFonts w:ascii="Times New Roman" w:eastAsia="Times New Roman" w:hAnsi="Times New Roman"/>
          <w:sz w:val="28"/>
          <w:szCs w:val="28"/>
          <w:lang w:eastAsia="ru-RU"/>
        </w:rPr>
        <w:t>перевірки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відповідності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нових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фінансових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продуктів</w:t>
      </w:r>
      <w:proofErr w:type="spellEnd"/>
      <w:r>
        <w:rPr>
          <w:rFonts w:ascii="Times New Roman" w:eastAsia="Times New Roman" w:hAnsi="Times New Roman"/>
          <w:sz w:val="28"/>
          <w:szCs w:val="28"/>
          <w:lang w:eastAsia="ru-RU"/>
        </w:rPr>
        <w:t xml:space="preserve"> до </w:t>
      </w:r>
      <w:proofErr w:type="spellStart"/>
      <w:r>
        <w:rPr>
          <w:rFonts w:ascii="Times New Roman" w:eastAsia="Times New Roman" w:hAnsi="Times New Roman"/>
          <w:sz w:val="28"/>
          <w:szCs w:val="28"/>
          <w:lang w:eastAsia="ru-RU"/>
        </w:rPr>
        <w:t>регуляторних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вимог</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Також</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Ш</w:t>
      </w:r>
      <w:proofErr w:type="gramEnd"/>
      <w:r>
        <w:rPr>
          <w:rFonts w:ascii="Times New Roman" w:eastAsia="Times New Roman" w:hAnsi="Times New Roman"/>
          <w:sz w:val="28"/>
          <w:szCs w:val="28"/>
          <w:lang w:eastAsia="ru-RU"/>
        </w:rPr>
        <w:t xml:space="preserve">І </w:t>
      </w:r>
      <w:proofErr w:type="spellStart"/>
      <w:r>
        <w:rPr>
          <w:rFonts w:ascii="Times New Roman" w:eastAsia="Times New Roman" w:hAnsi="Times New Roman"/>
          <w:sz w:val="28"/>
          <w:szCs w:val="28"/>
          <w:lang w:eastAsia="ru-RU"/>
        </w:rPr>
        <w:t>може</w:t>
      </w:r>
      <w:proofErr w:type="spellEnd"/>
      <w:r>
        <w:rPr>
          <w:rFonts w:ascii="Times New Roman" w:eastAsia="Times New Roman" w:hAnsi="Times New Roman"/>
          <w:sz w:val="28"/>
          <w:szCs w:val="28"/>
          <w:lang w:eastAsia="ru-RU"/>
        </w:rPr>
        <w:t xml:space="preserve"> бути </w:t>
      </w:r>
      <w:proofErr w:type="spellStart"/>
      <w:r>
        <w:rPr>
          <w:rFonts w:ascii="Times New Roman" w:eastAsia="Times New Roman" w:hAnsi="Times New Roman"/>
          <w:sz w:val="28"/>
          <w:szCs w:val="28"/>
          <w:lang w:eastAsia="ru-RU"/>
        </w:rPr>
        <w:t>використаний</w:t>
      </w:r>
      <w:proofErr w:type="spellEnd"/>
      <w:r>
        <w:rPr>
          <w:rFonts w:ascii="Times New Roman" w:eastAsia="Times New Roman" w:hAnsi="Times New Roman"/>
          <w:sz w:val="28"/>
          <w:szCs w:val="28"/>
          <w:lang w:eastAsia="ru-RU"/>
        </w:rPr>
        <w:t xml:space="preserve"> для </w:t>
      </w:r>
      <w:proofErr w:type="spellStart"/>
      <w:r>
        <w:rPr>
          <w:rFonts w:ascii="Times New Roman" w:eastAsia="Times New Roman" w:hAnsi="Times New Roman"/>
          <w:sz w:val="28"/>
          <w:szCs w:val="28"/>
          <w:lang w:eastAsia="ru-RU"/>
        </w:rPr>
        <w:t>автоматизації</w:t>
      </w:r>
      <w:proofErr w:type="spellEnd"/>
      <w:r>
        <w:rPr>
          <w:rFonts w:ascii="Times New Roman" w:eastAsia="Times New Roman" w:hAnsi="Times New Roman"/>
          <w:sz w:val="28"/>
          <w:szCs w:val="28"/>
          <w:lang w:eastAsia="ru-RU"/>
        </w:rPr>
        <w:t xml:space="preserve"> документального </w:t>
      </w:r>
      <w:proofErr w:type="spellStart"/>
      <w:r>
        <w:rPr>
          <w:rFonts w:ascii="Times New Roman" w:eastAsia="Times New Roman" w:hAnsi="Times New Roman"/>
          <w:sz w:val="28"/>
          <w:szCs w:val="28"/>
          <w:lang w:eastAsia="ru-RU"/>
        </w:rPr>
        <w:t>обігу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прийняття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процедурних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рішень</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внутрішньої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оптимізації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аналітичної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діяльності</w:t>
      </w:r>
      <w:proofErr w:type="spellEnd"/>
      <w:r>
        <w:rPr>
          <w:rFonts w:ascii="Times New Roman" w:eastAsia="Times New Roman" w:hAnsi="Times New Roman"/>
          <w:sz w:val="28"/>
          <w:szCs w:val="28"/>
          <w:lang w:eastAsia="ru-RU"/>
        </w:rPr>
        <w:t xml:space="preserve"> банку.</w:t>
      </w:r>
    </w:p>
    <w:p w:rsidR="00496CAD" w:rsidRDefault="00496CAD" w:rsidP="00496CAD">
      <w:pPr>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Водночас</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застосування</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Ш</w:t>
      </w:r>
      <w:proofErr w:type="gramEnd"/>
      <w:r>
        <w:rPr>
          <w:rFonts w:ascii="Times New Roman" w:eastAsia="Times New Roman" w:hAnsi="Times New Roman"/>
          <w:sz w:val="28"/>
          <w:szCs w:val="28"/>
          <w:lang w:eastAsia="ru-RU"/>
        </w:rPr>
        <w:t xml:space="preserve">І у </w:t>
      </w:r>
      <w:proofErr w:type="spellStart"/>
      <w:r>
        <w:rPr>
          <w:rFonts w:ascii="Times New Roman" w:eastAsia="Times New Roman" w:hAnsi="Times New Roman"/>
          <w:sz w:val="28"/>
          <w:szCs w:val="28"/>
          <w:lang w:eastAsia="ru-RU"/>
        </w:rPr>
        <w:t>центральних</w:t>
      </w:r>
      <w:proofErr w:type="spellEnd"/>
      <w:r>
        <w:rPr>
          <w:rFonts w:ascii="Times New Roman" w:eastAsia="Times New Roman" w:hAnsi="Times New Roman"/>
          <w:sz w:val="28"/>
          <w:szCs w:val="28"/>
          <w:lang w:eastAsia="ru-RU"/>
        </w:rPr>
        <w:t xml:space="preserve"> банках </w:t>
      </w:r>
      <w:proofErr w:type="spellStart"/>
      <w:r>
        <w:rPr>
          <w:rFonts w:ascii="Times New Roman" w:eastAsia="Times New Roman" w:hAnsi="Times New Roman"/>
          <w:sz w:val="28"/>
          <w:szCs w:val="28"/>
          <w:lang w:eastAsia="ru-RU"/>
        </w:rPr>
        <w:t>супроводжується</w:t>
      </w:r>
      <w:proofErr w:type="spellEnd"/>
      <w:r>
        <w:rPr>
          <w:rFonts w:ascii="Times New Roman" w:eastAsia="Times New Roman" w:hAnsi="Times New Roman"/>
          <w:sz w:val="28"/>
          <w:szCs w:val="28"/>
          <w:lang w:eastAsia="ru-RU"/>
        </w:rPr>
        <w:t xml:space="preserve"> низкою </w:t>
      </w:r>
      <w:proofErr w:type="spellStart"/>
      <w:r>
        <w:rPr>
          <w:rFonts w:ascii="Times New Roman" w:eastAsia="Times New Roman" w:hAnsi="Times New Roman"/>
          <w:sz w:val="28"/>
          <w:szCs w:val="28"/>
          <w:lang w:eastAsia="ru-RU"/>
        </w:rPr>
        <w:t>викликів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прозорість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алгоритмів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етичність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пояснюваність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рішень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explainability</w:t>
      </w:r>
      <w:proofErr w:type="spellEnd"/>
      <w:r>
        <w:rPr>
          <w:rFonts w:ascii="Times New Roman" w:eastAsia="Times New Roman" w:hAnsi="Times New Roman"/>
          <w:sz w:val="28"/>
          <w:szCs w:val="28"/>
          <w:lang w:eastAsia="ru-RU"/>
        </w:rPr>
        <w:t xml:space="preserve">), а </w:t>
      </w:r>
      <w:proofErr w:type="spellStart"/>
      <w:r>
        <w:rPr>
          <w:rFonts w:ascii="Times New Roman" w:eastAsia="Times New Roman" w:hAnsi="Times New Roman"/>
          <w:sz w:val="28"/>
          <w:szCs w:val="28"/>
          <w:lang w:eastAsia="ru-RU"/>
        </w:rPr>
        <w:t>також</w:t>
      </w:r>
      <w:proofErr w:type="spellEnd"/>
      <w:r>
        <w:rPr>
          <w:rFonts w:ascii="Times New Roman" w:eastAsia="Times New Roman" w:hAnsi="Times New Roman"/>
          <w:sz w:val="28"/>
          <w:szCs w:val="28"/>
          <w:lang w:eastAsia="ru-RU"/>
        </w:rPr>
        <w:t xml:space="preserve"> потреба в </w:t>
      </w:r>
      <w:proofErr w:type="spellStart"/>
      <w:r>
        <w:rPr>
          <w:rFonts w:ascii="Times New Roman" w:eastAsia="Times New Roman" w:hAnsi="Times New Roman"/>
          <w:sz w:val="28"/>
          <w:szCs w:val="28"/>
          <w:lang w:eastAsia="ru-RU"/>
        </w:rPr>
        <w:t>узгодженні</w:t>
      </w:r>
      <w:proofErr w:type="spellEnd"/>
      <w:r>
        <w:rPr>
          <w:rFonts w:ascii="Times New Roman" w:eastAsia="Times New Roman" w:hAnsi="Times New Roman"/>
          <w:sz w:val="28"/>
          <w:szCs w:val="28"/>
          <w:lang w:eastAsia="ru-RU"/>
        </w:rPr>
        <w:t xml:space="preserve"> з </w:t>
      </w:r>
      <w:proofErr w:type="spellStart"/>
      <w:r>
        <w:rPr>
          <w:rFonts w:ascii="Times New Roman" w:eastAsia="Times New Roman" w:hAnsi="Times New Roman"/>
          <w:sz w:val="28"/>
          <w:szCs w:val="28"/>
          <w:lang w:eastAsia="ru-RU"/>
        </w:rPr>
        <w:t>чинними</w:t>
      </w:r>
      <w:proofErr w:type="spellEnd"/>
      <w:r>
        <w:rPr>
          <w:rFonts w:ascii="Times New Roman" w:eastAsia="Times New Roman" w:hAnsi="Times New Roman"/>
          <w:sz w:val="28"/>
          <w:szCs w:val="28"/>
          <w:lang w:eastAsia="ru-RU"/>
        </w:rPr>
        <w:t xml:space="preserve"> макромоделями. Особливо </w:t>
      </w:r>
      <w:proofErr w:type="spellStart"/>
      <w:r>
        <w:rPr>
          <w:rFonts w:ascii="Times New Roman" w:eastAsia="Times New Roman" w:hAnsi="Times New Roman"/>
          <w:sz w:val="28"/>
          <w:szCs w:val="28"/>
          <w:lang w:eastAsia="ru-RU"/>
        </w:rPr>
        <w:t>критичним</w:t>
      </w:r>
      <w:proofErr w:type="spellEnd"/>
      <w:r>
        <w:rPr>
          <w:rFonts w:ascii="Times New Roman" w:eastAsia="Times New Roman" w:hAnsi="Times New Roman"/>
          <w:sz w:val="28"/>
          <w:szCs w:val="28"/>
          <w:lang w:eastAsia="ru-RU"/>
        </w:rPr>
        <w:t xml:space="preserve"> є </w:t>
      </w:r>
      <w:proofErr w:type="spellStart"/>
      <w:r>
        <w:rPr>
          <w:rFonts w:ascii="Times New Roman" w:eastAsia="Times New Roman" w:hAnsi="Times New Roman"/>
          <w:sz w:val="28"/>
          <w:szCs w:val="28"/>
          <w:lang w:eastAsia="ru-RU"/>
        </w:rPr>
        <w:t>питання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довіри</w:t>
      </w:r>
      <w:proofErr w:type="spellEnd"/>
      <w:r>
        <w:rPr>
          <w:rFonts w:ascii="Times New Roman" w:eastAsia="Times New Roman" w:hAnsi="Times New Roman"/>
          <w:sz w:val="28"/>
          <w:szCs w:val="28"/>
          <w:lang w:eastAsia="ru-RU"/>
        </w:rPr>
        <w:t xml:space="preserve"> до </w:t>
      </w:r>
      <w:proofErr w:type="spellStart"/>
      <w:r>
        <w:rPr>
          <w:rFonts w:ascii="Times New Roman" w:eastAsia="Times New Roman" w:hAnsi="Times New Roman"/>
          <w:sz w:val="28"/>
          <w:szCs w:val="28"/>
          <w:lang w:eastAsia="ru-RU"/>
        </w:rPr>
        <w:t>машинних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прогнозів</w:t>
      </w:r>
      <w:proofErr w:type="spellEnd"/>
      <w:r>
        <w:rPr>
          <w:rFonts w:ascii="Times New Roman" w:eastAsia="Times New Roman" w:hAnsi="Times New Roman"/>
          <w:sz w:val="28"/>
          <w:szCs w:val="28"/>
          <w:lang w:eastAsia="ru-RU"/>
        </w:rPr>
        <w:t xml:space="preserve"> у </w:t>
      </w:r>
      <w:proofErr w:type="spellStart"/>
      <w:r>
        <w:rPr>
          <w:rFonts w:ascii="Times New Roman" w:eastAsia="Times New Roman" w:hAnsi="Times New Roman"/>
          <w:sz w:val="28"/>
          <w:szCs w:val="28"/>
          <w:lang w:eastAsia="ru-RU"/>
        </w:rPr>
        <w:t>середовищі</w:t>
      </w:r>
      <w:proofErr w:type="spellEnd"/>
      <w:r>
        <w:rPr>
          <w:rFonts w:ascii="Times New Roman" w:eastAsia="Times New Roman" w:hAnsi="Times New Roman"/>
          <w:sz w:val="28"/>
          <w:szCs w:val="28"/>
          <w:lang w:eastAsia="ru-RU"/>
        </w:rPr>
        <w:t xml:space="preserve">, де </w:t>
      </w:r>
      <w:proofErr w:type="spellStart"/>
      <w:r>
        <w:rPr>
          <w:rFonts w:ascii="Times New Roman" w:eastAsia="Times New Roman" w:hAnsi="Times New Roman"/>
          <w:sz w:val="28"/>
          <w:szCs w:val="28"/>
          <w:lang w:eastAsia="ru-RU"/>
        </w:rPr>
        <w:t>традиційно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домінували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економетричні</w:t>
      </w:r>
      <w:proofErr w:type="spellEnd"/>
      <w:r>
        <w:rPr>
          <w:rFonts w:ascii="Times New Roman" w:eastAsia="Times New Roman" w:hAnsi="Times New Roman"/>
          <w:sz w:val="28"/>
          <w:szCs w:val="28"/>
          <w:lang w:eastAsia="ru-RU"/>
        </w:rPr>
        <w:t xml:space="preserve"> та теоретично </w:t>
      </w:r>
      <w:proofErr w:type="spellStart"/>
      <w:r>
        <w:rPr>
          <w:rFonts w:ascii="Times New Roman" w:eastAsia="Times New Roman" w:hAnsi="Times New Roman"/>
          <w:sz w:val="28"/>
          <w:szCs w:val="28"/>
          <w:lang w:eastAsia="ru-RU"/>
        </w:rPr>
        <w:t>обґрунтовані</w:t>
      </w:r>
      <w:proofErr w:type="spellEnd"/>
      <w:r>
        <w:rPr>
          <w:rFonts w:ascii="Times New Roman" w:eastAsia="Times New Roman" w:hAnsi="Times New Roman"/>
          <w:sz w:val="28"/>
          <w:szCs w:val="28"/>
          <w:lang w:eastAsia="ru-RU"/>
        </w:rPr>
        <w:t xml:space="preserve"> </w:t>
      </w:r>
      <w:proofErr w:type="spellStart"/>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ідходи</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У</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відповідь</w:t>
      </w:r>
      <w:proofErr w:type="spellEnd"/>
      <w:r>
        <w:rPr>
          <w:rFonts w:ascii="Times New Roman" w:eastAsia="Times New Roman" w:hAnsi="Times New Roman"/>
          <w:sz w:val="28"/>
          <w:szCs w:val="28"/>
          <w:lang w:eastAsia="ru-RU"/>
        </w:rPr>
        <w:t xml:space="preserve"> на </w:t>
      </w:r>
      <w:proofErr w:type="spellStart"/>
      <w:r>
        <w:rPr>
          <w:rFonts w:ascii="Times New Roman" w:eastAsia="Times New Roman" w:hAnsi="Times New Roman"/>
          <w:sz w:val="28"/>
          <w:szCs w:val="28"/>
          <w:lang w:eastAsia="ru-RU"/>
        </w:rPr>
        <w:t>це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дедалі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частіше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створюються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гібридні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моделі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наприклад</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поєднання</w:t>
      </w:r>
      <w:proofErr w:type="spellEnd"/>
      <w:r>
        <w:rPr>
          <w:rFonts w:ascii="Times New Roman" w:eastAsia="Times New Roman" w:hAnsi="Times New Roman"/>
          <w:sz w:val="28"/>
          <w:szCs w:val="28"/>
          <w:lang w:eastAsia="ru-RU"/>
        </w:rPr>
        <w:t xml:space="preserve"> DSGE-моделей </w:t>
      </w:r>
      <w:proofErr w:type="spellStart"/>
      <w:r>
        <w:rPr>
          <w:rFonts w:ascii="Times New Roman" w:eastAsia="Times New Roman" w:hAnsi="Times New Roman"/>
          <w:sz w:val="28"/>
          <w:szCs w:val="28"/>
          <w:lang w:eastAsia="ru-RU"/>
        </w:rPr>
        <w:t>із</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нейронними</w:t>
      </w:r>
      <w:proofErr w:type="spellEnd"/>
      <w:r>
        <w:rPr>
          <w:rFonts w:ascii="Times New Roman" w:eastAsia="Times New Roman" w:hAnsi="Times New Roman"/>
          <w:sz w:val="28"/>
          <w:szCs w:val="28"/>
          <w:lang w:eastAsia="ru-RU"/>
        </w:rPr>
        <w:t xml:space="preserve"> мережами для </w:t>
      </w:r>
      <w:proofErr w:type="spellStart"/>
      <w:r>
        <w:rPr>
          <w:rFonts w:ascii="Times New Roman" w:eastAsia="Times New Roman" w:hAnsi="Times New Roman"/>
          <w:sz w:val="28"/>
          <w:szCs w:val="28"/>
          <w:lang w:eastAsia="ru-RU"/>
        </w:rPr>
        <w:t>поліпшення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прогнозування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очікувань</w:t>
      </w:r>
      <w:proofErr w:type="spellEnd"/>
      <w:r>
        <w:rPr>
          <w:rFonts w:ascii="Times New Roman" w:eastAsia="Times New Roman" w:hAnsi="Times New Roman"/>
          <w:sz w:val="28"/>
          <w:szCs w:val="28"/>
          <w:lang w:eastAsia="ru-RU"/>
        </w:rPr>
        <w:t>.</w:t>
      </w:r>
    </w:p>
    <w:p w:rsidR="00496CAD" w:rsidRDefault="00496CAD" w:rsidP="00496CA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чином, </w:t>
      </w:r>
      <w:proofErr w:type="spellStart"/>
      <w:r>
        <w:rPr>
          <w:rFonts w:ascii="Times New Roman" w:eastAsia="Times New Roman" w:hAnsi="Times New Roman"/>
          <w:sz w:val="28"/>
          <w:szCs w:val="28"/>
          <w:lang w:eastAsia="ru-RU"/>
        </w:rPr>
        <w:t>штучний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інтелект</w:t>
      </w:r>
      <w:proofErr w:type="spellEnd"/>
      <w:r>
        <w:rPr>
          <w:rFonts w:ascii="Times New Roman" w:eastAsia="Times New Roman" w:hAnsi="Times New Roman"/>
          <w:sz w:val="28"/>
          <w:szCs w:val="28"/>
          <w:lang w:eastAsia="ru-RU"/>
        </w:rPr>
        <w:t xml:space="preserve"> є </w:t>
      </w:r>
      <w:proofErr w:type="spellStart"/>
      <w:r>
        <w:rPr>
          <w:rFonts w:ascii="Times New Roman" w:eastAsia="Times New Roman" w:hAnsi="Times New Roman"/>
          <w:sz w:val="28"/>
          <w:szCs w:val="28"/>
          <w:lang w:eastAsia="ru-RU"/>
        </w:rPr>
        <w:t>потужним</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доповненням</w:t>
      </w:r>
      <w:proofErr w:type="spellEnd"/>
      <w:r>
        <w:rPr>
          <w:rFonts w:ascii="Times New Roman" w:eastAsia="Times New Roman" w:hAnsi="Times New Roman"/>
          <w:sz w:val="28"/>
          <w:szCs w:val="28"/>
          <w:lang w:eastAsia="ru-RU"/>
        </w:rPr>
        <w:t xml:space="preserve"> до </w:t>
      </w:r>
      <w:proofErr w:type="spellStart"/>
      <w:r>
        <w:rPr>
          <w:rFonts w:ascii="Times New Roman" w:eastAsia="Times New Roman" w:hAnsi="Times New Roman"/>
          <w:sz w:val="28"/>
          <w:szCs w:val="28"/>
          <w:lang w:eastAsia="ru-RU"/>
        </w:rPr>
        <w:t>аналітичного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інструментарію</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центрального</w:t>
      </w:r>
      <w:proofErr w:type="gramEnd"/>
      <w:r>
        <w:rPr>
          <w:rFonts w:ascii="Times New Roman" w:eastAsia="Times New Roman" w:hAnsi="Times New Roman"/>
          <w:sz w:val="28"/>
          <w:szCs w:val="28"/>
          <w:lang w:eastAsia="ru-RU"/>
        </w:rPr>
        <w:t xml:space="preserve"> банку. </w:t>
      </w:r>
      <w:proofErr w:type="spellStart"/>
      <w:r>
        <w:rPr>
          <w:rFonts w:ascii="Times New Roman" w:eastAsia="Times New Roman" w:hAnsi="Times New Roman"/>
          <w:sz w:val="28"/>
          <w:szCs w:val="28"/>
          <w:lang w:eastAsia="ru-RU"/>
        </w:rPr>
        <w:t>Його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інтеграція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дозволяє</w:t>
      </w:r>
      <w:proofErr w:type="spellEnd"/>
      <w:r>
        <w:rPr>
          <w:rFonts w:ascii="Times New Roman" w:eastAsia="Times New Roman" w:hAnsi="Times New Roman"/>
          <w:sz w:val="28"/>
          <w:szCs w:val="28"/>
          <w:lang w:eastAsia="ru-RU"/>
        </w:rPr>
        <w:t xml:space="preserve"> не </w:t>
      </w:r>
      <w:proofErr w:type="spellStart"/>
      <w:r>
        <w:rPr>
          <w:rFonts w:ascii="Times New Roman" w:eastAsia="Times New Roman" w:hAnsi="Times New Roman"/>
          <w:sz w:val="28"/>
          <w:szCs w:val="28"/>
          <w:lang w:eastAsia="ru-RU"/>
        </w:rPr>
        <w:t>лише</w:t>
      </w:r>
      <w:proofErr w:type="spellEnd"/>
      <w:r>
        <w:rPr>
          <w:rFonts w:ascii="Times New Roman" w:eastAsia="Times New Roman" w:hAnsi="Times New Roman"/>
          <w:sz w:val="28"/>
          <w:szCs w:val="28"/>
          <w:lang w:eastAsia="ru-RU"/>
        </w:rPr>
        <w:t xml:space="preserve"> </w:t>
      </w:r>
      <w:proofErr w:type="spellStart"/>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ідвищити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точність</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прогнозування</w:t>
      </w:r>
      <w:proofErr w:type="spellEnd"/>
      <w:r>
        <w:rPr>
          <w:rFonts w:ascii="Times New Roman" w:eastAsia="Times New Roman" w:hAnsi="Times New Roman"/>
          <w:sz w:val="28"/>
          <w:szCs w:val="28"/>
          <w:lang w:eastAsia="ru-RU"/>
        </w:rPr>
        <w:t xml:space="preserve">, а й </w:t>
      </w:r>
      <w:proofErr w:type="spellStart"/>
      <w:r>
        <w:rPr>
          <w:rFonts w:ascii="Times New Roman" w:eastAsia="Times New Roman" w:hAnsi="Times New Roman"/>
          <w:sz w:val="28"/>
          <w:szCs w:val="28"/>
          <w:lang w:eastAsia="ru-RU"/>
        </w:rPr>
        <w:t>забезпечити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більш</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гнучке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оперативне</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масштабоване</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реагування</w:t>
      </w:r>
      <w:proofErr w:type="spellEnd"/>
      <w:r>
        <w:rPr>
          <w:rFonts w:ascii="Times New Roman" w:eastAsia="Times New Roman" w:hAnsi="Times New Roman"/>
          <w:sz w:val="28"/>
          <w:szCs w:val="28"/>
          <w:lang w:eastAsia="ru-RU"/>
        </w:rPr>
        <w:t xml:space="preserve"> на </w:t>
      </w:r>
      <w:proofErr w:type="spellStart"/>
      <w:r>
        <w:rPr>
          <w:rFonts w:ascii="Times New Roman" w:eastAsia="Times New Roman" w:hAnsi="Times New Roman"/>
          <w:sz w:val="28"/>
          <w:szCs w:val="28"/>
          <w:lang w:eastAsia="ru-RU"/>
        </w:rPr>
        <w:t>виклики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фінансової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системи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Успішна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реалізація</w:t>
      </w:r>
      <w:proofErr w:type="spellEnd"/>
      <w:r>
        <w:rPr>
          <w:rFonts w:ascii="Times New Roman" w:eastAsia="Times New Roman" w:hAnsi="Times New Roman"/>
          <w:sz w:val="28"/>
          <w:szCs w:val="28"/>
          <w:lang w:eastAsia="ru-RU"/>
        </w:rPr>
        <w:t xml:space="preserve"> таких </w:t>
      </w:r>
      <w:proofErr w:type="spellStart"/>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ідходів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вимагає</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міждисциплінарної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експертизи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надійної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технічної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інфраструктури</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стратегічного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бачення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цифрової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трансформації</w:t>
      </w:r>
      <w:proofErr w:type="spellEnd"/>
      <w:r>
        <w:rPr>
          <w:rFonts w:ascii="Times New Roman" w:eastAsia="Times New Roman" w:hAnsi="Times New Roman"/>
          <w:sz w:val="28"/>
          <w:szCs w:val="28"/>
          <w:lang w:eastAsia="ru-RU"/>
        </w:rPr>
        <w:t xml:space="preserve"> в </w:t>
      </w:r>
      <w:proofErr w:type="spellStart"/>
      <w:r>
        <w:rPr>
          <w:rFonts w:ascii="Times New Roman" w:eastAsia="Times New Roman" w:hAnsi="Times New Roman"/>
          <w:sz w:val="28"/>
          <w:szCs w:val="28"/>
          <w:lang w:eastAsia="ru-RU"/>
        </w:rPr>
        <w:t>центрі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грошово-кредитної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політики</w:t>
      </w:r>
      <w:proofErr w:type="spellEnd"/>
      <w:r>
        <w:rPr>
          <w:rFonts w:ascii="Times New Roman" w:eastAsia="Times New Roman" w:hAnsi="Times New Roman"/>
          <w:sz w:val="28"/>
          <w:szCs w:val="28"/>
          <w:lang w:eastAsia="ru-RU"/>
        </w:rPr>
        <w:t>.</w:t>
      </w:r>
    </w:p>
    <w:p w:rsidR="00496CAD" w:rsidRDefault="00496CAD" w:rsidP="00496CAD">
      <w:pPr>
        <w:rPr>
          <w:rFonts w:asciiTheme="minorHAnsi" w:eastAsiaTheme="minorHAnsi" w:hAnsiTheme="minorHAnsi" w:cstheme="minorBidi"/>
          <w:kern w:val="2"/>
          <w:sz w:val="24"/>
          <w:szCs w:val="24"/>
          <w14:ligatures w14:val="standardContextual"/>
        </w:rPr>
      </w:pPr>
    </w:p>
    <w:p w:rsidR="009B56DF" w:rsidRPr="008277A3" w:rsidRDefault="009B56DF" w:rsidP="009B56DF">
      <w:pPr>
        <w:spacing w:after="0" w:line="240" w:lineRule="auto"/>
        <w:ind w:firstLine="709"/>
        <w:jc w:val="center"/>
        <w:rPr>
          <w:rFonts w:ascii="Times New Roman" w:hAnsi="Times New Roman"/>
          <w:b/>
          <w:sz w:val="28"/>
          <w:szCs w:val="28"/>
          <w:lang w:val="uk-UA"/>
        </w:rPr>
      </w:pPr>
      <w:r w:rsidRPr="008277A3">
        <w:rPr>
          <w:rFonts w:ascii="Times New Roman" w:hAnsi="Times New Roman"/>
          <w:b/>
          <w:sz w:val="28"/>
          <w:szCs w:val="28"/>
          <w:lang w:val="uk-UA"/>
        </w:rPr>
        <w:t>Питання для самоконтролю</w:t>
      </w:r>
    </w:p>
    <w:p w:rsidR="009B56DF" w:rsidRPr="008277A3" w:rsidRDefault="009B56DF" w:rsidP="009B56DF">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Style w:val="42"/>
          <w:rFonts w:eastAsiaTheme="minorEastAsia"/>
          <w:sz w:val="28"/>
          <w:szCs w:val="28"/>
          <w:lang w:val="uk-UA"/>
        </w:rPr>
        <w:t>Розкрийте с</w:t>
      </w:r>
      <w:r w:rsidRPr="008277A3">
        <w:rPr>
          <w:rFonts w:ascii="Times New Roman" w:hAnsi="Times New Roman"/>
          <w:sz w:val="28"/>
          <w:szCs w:val="28"/>
          <w:lang w:val="uk-UA"/>
        </w:rPr>
        <w:t xml:space="preserve">утність та види </w:t>
      </w:r>
      <w:proofErr w:type="spellStart"/>
      <w:r w:rsidRPr="008277A3">
        <w:rPr>
          <w:rFonts w:ascii="Times New Roman" w:hAnsi="Times New Roman"/>
          <w:sz w:val="28"/>
          <w:szCs w:val="28"/>
          <w:lang w:val="uk-UA"/>
        </w:rPr>
        <w:t>фiнансового</w:t>
      </w:r>
      <w:proofErr w:type="spellEnd"/>
      <w:r w:rsidRPr="008277A3">
        <w:rPr>
          <w:rFonts w:ascii="Times New Roman" w:hAnsi="Times New Roman"/>
          <w:sz w:val="28"/>
          <w:szCs w:val="28"/>
          <w:lang w:val="uk-UA"/>
        </w:rPr>
        <w:t xml:space="preserve"> ризику. </w:t>
      </w:r>
    </w:p>
    <w:p w:rsidR="009B56DF" w:rsidRPr="008277A3" w:rsidRDefault="009B56DF" w:rsidP="009B56DF">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Які </w:t>
      </w:r>
      <w:proofErr w:type="spellStart"/>
      <w:r w:rsidRPr="008277A3">
        <w:rPr>
          <w:rFonts w:ascii="Times New Roman" w:hAnsi="Times New Roman"/>
          <w:sz w:val="28"/>
          <w:szCs w:val="28"/>
          <w:lang w:val="uk-UA"/>
        </w:rPr>
        <w:t>внутрiшнi</w:t>
      </w:r>
      <w:proofErr w:type="spellEnd"/>
      <w:r w:rsidRPr="008277A3">
        <w:rPr>
          <w:rFonts w:ascii="Times New Roman" w:hAnsi="Times New Roman"/>
          <w:sz w:val="28"/>
          <w:szCs w:val="28"/>
          <w:lang w:val="uk-UA"/>
        </w:rPr>
        <w:t xml:space="preserve"> методи уникнення та </w:t>
      </w:r>
      <w:proofErr w:type="spellStart"/>
      <w:r w:rsidRPr="008277A3">
        <w:rPr>
          <w:rFonts w:ascii="Times New Roman" w:hAnsi="Times New Roman"/>
          <w:sz w:val="28"/>
          <w:szCs w:val="28"/>
          <w:lang w:val="uk-UA"/>
        </w:rPr>
        <w:t>мiнiмiзацiї</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ризикiв</w:t>
      </w:r>
      <w:proofErr w:type="spellEnd"/>
      <w:r w:rsidRPr="008277A3">
        <w:rPr>
          <w:rFonts w:ascii="Times New Roman" w:hAnsi="Times New Roman"/>
          <w:sz w:val="28"/>
          <w:szCs w:val="28"/>
          <w:lang w:val="uk-UA"/>
        </w:rPr>
        <w:t xml:space="preserve"> Ви знаєте? </w:t>
      </w:r>
      <w:bookmarkStart w:id="0" w:name="_GoBack"/>
      <w:bookmarkEnd w:id="0"/>
    </w:p>
    <w:p w:rsidR="009B56DF" w:rsidRPr="008277A3" w:rsidRDefault="009B56DF" w:rsidP="009B56DF">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Назвіть види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послуг, що забезпечують перейняття </w:t>
      </w:r>
      <w:proofErr w:type="spellStart"/>
      <w:r w:rsidRPr="008277A3">
        <w:rPr>
          <w:rFonts w:ascii="Times New Roman" w:hAnsi="Times New Roman"/>
          <w:sz w:val="28"/>
          <w:szCs w:val="28"/>
          <w:lang w:val="uk-UA"/>
        </w:rPr>
        <w:t>ризикiв</w:t>
      </w:r>
      <w:proofErr w:type="spellEnd"/>
      <w:r w:rsidRPr="008277A3">
        <w:rPr>
          <w:rFonts w:ascii="Times New Roman" w:hAnsi="Times New Roman"/>
          <w:sz w:val="28"/>
          <w:szCs w:val="28"/>
          <w:lang w:val="uk-UA"/>
        </w:rPr>
        <w:t xml:space="preserve">. </w:t>
      </w:r>
    </w:p>
    <w:p w:rsidR="009B56DF" w:rsidRPr="008277A3" w:rsidRDefault="009B56DF" w:rsidP="009B56DF">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Style w:val="42"/>
          <w:rFonts w:eastAsiaTheme="minorEastAsia"/>
          <w:sz w:val="28"/>
          <w:szCs w:val="28"/>
          <w:lang w:val="uk-UA"/>
        </w:rPr>
        <w:lastRenderedPageBreak/>
        <w:t>Розкрийте с</w:t>
      </w:r>
      <w:r w:rsidRPr="008277A3">
        <w:rPr>
          <w:rFonts w:ascii="Times New Roman" w:hAnsi="Times New Roman"/>
          <w:sz w:val="28"/>
          <w:szCs w:val="28"/>
          <w:lang w:val="uk-UA"/>
        </w:rPr>
        <w:t xml:space="preserve">утність та види </w:t>
      </w:r>
      <w:proofErr w:type="spellStart"/>
      <w:r w:rsidRPr="008277A3">
        <w:rPr>
          <w:rFonts w:ascii="Times New Roman" w:hAnsi="Times New Roman"/>
          <w:sz w:val="28"/>
          <w:szCs w:val="28"/>
          <w:lang w:val="uk-UA"/>
        </w:rPr>
        <w:t>банкiвських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гарантiй</w:t>
      </w:r>
      <w:proofErr w:type="spellEnd"/>
      <w:r w:rsidRPr="008277A3">
        <w:rPr>
          <w:rFonts w:ascii="Times New Roman" w:hAnsi="Times New Roman"/>
          <w:sz w:val="28"/>
          <w:szCs w:val="28"/>
          <w:lang w:val="uk-UA"/>
        </w:rPr>
        <w:t xml:space="preserve">. </w:t>
      </w:r>
    </w:p>
    <w:p w:rsidR="009B56DF" w:rsidRPr="008277A3" w:rsidRDefault="009B56DF" w:rsidP="009B56DF">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Охарактеризуйте </w:t>
      </w:r>
      <w:proofErr w:type="spellStart"/>
      <w:r w:rsidRPr="008277A3">
        <w:rPr>
          <w:rFonts w:ascii="Times New Roman" w:hAnsi="Times New Roman"/>
          <w:sz w:val="28"/>
          <w:szCs w:val="28"/>
          <w:lang w:val="uk-UA"/>
        </w:rPr>
        <w:t>особливостi</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дiяльностi</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установ щодо надання </w:t>
      </w:r>
      <w:proofErr w:type="spellStart"/>
      <w:r w:rsidRPr="008277A3">
        <w:rPr>
          <w:rFonts w:ascii="Times New Roman" w:hAnsi="Times New Roman"/>
          <w:sz w:val="28"/>
          <w:szCs w:val="28"/>
          <w:lang w:val="uk-UA"/>
        </w:rPr>
        <w:t>порук</w:t>
      </w:r>
      <w:proofErr w:type="spellEnd"/>
      <w:r w:rsidRPr="008277A3">
        <w:rPr>
          <w:rFonts w:ascii="Times New Roman" w:hAnsi="Times New Roman"/>
          <w:sz w:val="28"/>
          <w:szCs w:val="28"/>
          <w:lang w:val="uk-UA"/>
        </w:rPr>
        <w:t xml:space="preserve">. </w:t>
      </w:r>
    </w:p>
    <w:p w:rsidR="009B56DF" w:rsidRPr="008277A3" w:rsidRDefault="009B56DF" w:rsidP="009B56DF">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За допомогою яких методів та </w:t>
      </w:r>
      <w:proofErr w:type="spellStart"/>
      <w:r w:rsidRPr="008277A3">
        <w:rPr>
          <w:rFonts w:ascii="Times New Roman" w:hAnsi="Times New Roman"/>
          <w:sz w:val="28"/>
          <w:szCs w:val="28"/>
          <w:lang w:val="uk-UA"/>
        </w:rPr>
        <w:t>критерiїв</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вимiрюється</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фiнансовий</w:t>
      </w:r>
      <w:proofErr w:type="spellEnd"/>
      <w:r w:rsidRPr="008277A3">
        <w:rPr>
          <w:rFonts w:ascii="Times New Roman" w:hAnsi="Times New Roman"/>
          <w:sz w:val="28"/>
          <w:szCs w:val="28"/>
          <w:lang w:val="uk-UA"/>
        </w:rPr>
        <w:t xml:space="preserve"> ризик?</w:t>
      </w:r>
    </w:p>
    <w:p w:rsidR="009B56DF" w:rsidRPr="008277A3" w:rsidRDefault="009B56DF" w:rsidP="009B56DF">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Наведіть способи зниження </w:t>
      </w:r>
      <w:proofErr w:type="spellStart"/>
      <w:r w:rsidRPr="008277A3">
        <w:rPr>
          <w:rFonts w:ascii="Times New Roman" w:hAnsi="Times New Roman"/>
          <w:sz w:val="28"/>
          <w:szCs w:val="28"/>
          <w:lang w:val="uk-UA"/>
        </w:rPr>
        <w:t>мiри</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фiнансового</w:t>
      </w:r>
      <w:proofErr w:type="spellEnd"/>
      <w:r w:rsidRPr="008277A3">
        <w:rPr>
          <w:rFonts w:ascii="Times New Roman" w:hAnsi="Times New Roman"/>
          <w:sz w:val="28"/>
          <w:szCs w:val="28"/>
          <w:lang w:val="uk-UA"/>
        </w:rPr>
        <w:t xml:space="preserve"> ризику. </w:t>
      </w:r>
    </w:p>
    <w:p w:rsidR="009B56DF" w:rsidRPr="008277A3" w:rsidRDefault="009B56DF" w:rsidP="009B56DF">
      <w:pPr>
        <w:pStyle w:val="a5"/>
        <w:numPr>
          <w:ilvl w:val="0"/>
          <w:numId w:val="1"/>
        </w:numPr>
        <w:tabs>
          <w:tab w:val="left" w:pos="1134"/>
        </w:tabs>
        <w:spacing w:after="0" w:line="240" w:lineRule="auto"/>
        <w:ind w:left="0" w:firstLine="720"/>
        <w:rPr>
          <w:rFonts w:ascii="Times New Roman" w:hAnsi="Times New Roman"/>
          <w:sz w:val="28"/>
          <w:szCs w:val="28"/>
          <w:lang w:val="uk-UA"/>
        </w:rPr>
      </w:pPr>
      <w:r w:rsidRPr="008277A3">
        <w:rPr>
          <w:rFonts w:ascii="Times New Roman" w:hAnsi="Times New Roman"/>
          <w:sz w:val="28"/>
          <w:szCs w:val="28"/>
          <w:lang w:val="uk-UA"/>
        </w:rPr>
        <w:t xml:space="preserve">Поясніть як здійснюється хеджування на </w:t>
      </w:r>
      <w:proofErr w:type="spellStart"/>
      <w:r w:rsidRPr="008277A3">
        <w:rPr>
          <w:rFonts w:ascii="Times New Roman" w:hAnsi="Times New Roman"/>
          <w:sz w:val="28"/>
          <w:szCs w:val="28"/>
          <w:lang w:val="uk-UA"/>
        </w:rPr>
        <w:t>фiнансовому</w:t>
      </w:r>
      <w:proofErr w:type="spellEnd"/>
      <w:r w:rsidRPr="008277A3">
        <w:rPr>
          <w:rFonts w:ascii="Times New Roman" w:hAnsi="Times New Roman"/>
          <w:sz w:val="28"/>
          <w:szCs w:val="28"/>
          <w:lang w:val="uk-UA"/>
        </w:rPr>
        <w:t xml:space="preserve"> ринку. </w:t>
      </w:r>
    </w:p>
    <w:p w:rsidR="009B56DF" w:rsidRPr="008277A3" w:rsidRDefault="009B56DF" w:rsidP="009B56DF">
      <w:pPr>
        <w:pStyle w:val="a5"/>
        <w:numPr>
          <w:ilvl w:val="0"/>
          <w:numId w:val="1"/>
        </w:numPr>
        <w:tabs>
          <w:tab w:val="left" w:pos="1134"/>
        </w:tabs>
        <w:spacing w:after="0" w:line="240" w:lineRule="auto"/>
        <w:ind w:left="0" w:firstLine="720"/>
        <w:rPr>
          <w:rFonts w:ascii="Times New Roman" w:hAnsi="Times New Roman"/>
          <w:sz w:val="28"/>
          <w:szCs w:val="28"/>
          <w:lang w:val="uk-UA"/>
        </w:rPr>
      </w:pPr>
      <w:r w:rsidRPr="008277A3">
        <w:rPr>
          <w:rFonts w:ascii="Times New Roman" w:hAnsi="Times New Roman"/>
          <w:sz w:val="28"/>
          <w:szCs w:val="28"/>
          <w:lang w:val="uk-UA"/>
        </w:rPr>
        <w:t xml:space="preserve">Що таке </w:t>
      </w:r>
      <w:proofErr w:type="spellStart"/>
      <w:r w:rsidRPr="008277A3">
        <w:rPr>
          <w:rFonts w:ascii="Times New Roman" w:hAnsi="Times New Roman"/>
          <w:sz w:val="28"/>
          <w:szCs w:val="28"/>
          <w:lang w:val="uk-UA"/>
        </w:rPr>
        <w:t>опцiоннi</w:t>
      </w:r>
      <w:proofErr w:type="spellEnd"/>
      <w:r w:rsidRPr="008277A3">
        <w:rPr>
          <w:rFonts w:ascii="Times New Roman" w:hAnsi="Times New Roman"/>
          <w:sz w:val="28"/>
          <w:szCs w:val="28"/>
          <w:lang w:val="uk-UA"/>
        </w:rPr>
        <w:t xml:space="preserve"> та </w:t>
      </w:r>
      <w:proofErr w:type="spellStart"/>
      <w:r w:rsidRPr="008277A3">
        <w:rPr>
          <w:rFonts w:ascii="Times New Roman" w:hAnsi="Times New Roman"/>
          <w:sz w:val="28"/>
          <w:szCs w:val="28"/>
          <w:lang w:val="uk-UA"/>
        </w:rPr>
        <w:t>ф’ючерснi</w:t>
      </w:r>
      <w:proofErr w:type="spellEnd"/>
      <w:r w:rsidRPr="008277A3">
        <w:rPr>
          <w:rFonts w:ascii="Times New Roman" w:hAnsi="Times New Roman"/>
          <w:sz w:val="28"/>
          <w:szCs w:val="28"/>
          <w:lang w:val="uk-UA"/>
        </w:rPr>
        <w:t xml:space="preserve"> контракти?</w:t>
      </w:r>
    </w:p>
    <w:p w:rsidR="009B56DF" w:rsidRPr="008277A3" w:rsidRDefault="009B56DF" w:rsidP="009B56DF">
      <w:pPr>
        <w:pStyle w:val="a5"/>
        <w:numPr>
          <w:ilvl w:val="0"/>
          <w:numId w:val="1"/>
        </w:numPr>
        <w:tabs>
          <w:tab w:val="left" w:pos="1134"/>
        </w:tabs>
        <w:spacing w:after="0" w:line="240" w:lineRule="auto"/>
        <w:ind w:left="0" w:firstLine="720"/>
        <w:rPr>
          <w:rFonts w:ascii="Times New Roman" w:hAnsi="Times New Roman"/>
          <w:sz w:val="28"/>
          <w:szCs w:val="28"/>
          <w:lang w:val="uk-UA"/>
        </w:rPr>
      </w:pPr>
      <w:r w:rsidRPr="008277A3">
        <w:rPr>
          <w:rFonts w:ascii="Times New Roman" w:hAnsi="Times New Roman"/>
          <w:sz w:val="28"/>
          <w:szCs w:val="28"/>
          <w:lang w:val="uk-UA"/>
        </w:rPr>
        <w:t xml:space="preserve">Які установи беруть участь в </w:t>
      </w:r>
      <w:proofErr w:type="spellStart"/>
      <w:r w:rsidRPr="008277A3">
        <w:rPr>
          <w:rFonts w:ascii="Times New Roman" w:hAnsi="Times New Roman"/>
          <w:sz w:val="28"/>
          <w:szCs w:val="28"/>
          <w:lang w:val="uk-UA"/>
        </w:rPr>
        <w:t>обiгу</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ф’ючерсiв</w:t>
      </w:r>
      <w:proofErr w:type="spellEnd"/>
      <w:r w:rsidRPr="008277A3">
        <w:rPr>
          <w:rFonts w:ascii="Times New Roman" w:hAnsi="Times New Roman"/>
          <w:sz w:val="28"/>
          <w:szCs w:val="28"/>
          <w:lang w:val="uk-UA"/>
        </w:rPr>
        <w:t>?</w:t>
      </w:r>
    </w:p>
    <w:p w:rsidR="00E72043" w:rsidRPr="009B56DF" w:rsidRDefault="00E72043" w:rsidP="009B56DF">
      <w:pPr>
        <w:rPr>
          <w:lang w:val="uk-UA"/>
        </w:rPr>
      </w:pPr>
    </w:p>
    <w:sectPr w:rsidR="00E72043" w:rsidRPr="009B5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NewRomanPSMT">
    <w:altName w:val="MS Gothic"/>
    <w:panose1 w:val="00000000000000000000"/>
    <w:charset w:val="00"/>
    <w:family w:val="roman"/>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1010F"/>
    <w:multiLevelType w:val="hybridMultilevel"/>
    <w:tmpl w:val="4EAEBFC4"/>
    <w:lvl w:ilvl="0" w:tplc="C442B130">
      <w:start w:val="1"/>
      <w:numFmt w:val="decimal"/>
      <w:lvlText w:val="%1."/>
      <w:lvlJc w:val="left"/>
      <w:pPr>
        <w:ind w:left="1080" w:hanging="360"/>
      </w:pPr>
      <w:rPr>
        <w:rFonts w:eastAsiaTheme="minorEastAsia"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CD"/>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96CAD"/>
    <w:rsid w:val="004A1AF7"/>
    <w:rsid w:val="004A3984"/>
    <w:rsid w:val="004B34DA"/>
    <w:rsid w:val="004B516A"/>
    <w:rsid w:val="004B55B9"/>
    <w:rsid w:val="004B75CD"/>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1167"/>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B08B3"/>
    <w:rsid w:val="009B0D64"/>
    <w:rsid w:val="009B2698"/>
    <w:rsid w:val="009B2BC7"/>
    <w:rsid w:val="009B361D"/>
    <w:rsid w:val="009B56DF"/>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05C69"/>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3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14891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2025-04-15T09:55:00Z</dcterms:created>
  <dcterms:modified xsi:type="dcterms:W3CDTF">2025-04-15T09:55:00Z</dcterms:modified>
</cp:coreProperties>
</file>