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7D" w:rsidRDefault="009E247D" w:rsidP="009E247D">
      <w:pPr>
        <w:shd w:val="clear" w:color="auto" w:fill="FFFFFF"/>
        <w:tabs>
          <w:tab w:val="left" w:pos="504"/>
        </w:tabs>
        <w:spacing w:before="5"/>
        <w:ind w:firstLine="540"/>
        <w:jc w:val="center"/>
        <w:rPr>
          <w:b/>
          <w:color w:val="000000"/>
          <w:spacing w:val="-4"/>
          <w:sz w:val="28"/>
          <w:szCs w:val="28"/>
          <w:lang w:val="uk-UA"/>
        </w:rPr>
      </w:pPr>
      <w:r>
        <w:rPr>
          <w:b/>
          <w:color w:val="000000"/>
          <w:spacing w:val="-4"/>
          <w:sz w:val="28"/>
          <w:szCs w:val="28"/>
          <w:lang w:val="uk-UA"/>
        </w:rPr>
        <w:t>Методичні рекомендації до виконання завдання</w:t>
      </w:r>
    </w:p>
    <w:p w:rsidR="009E247D" w:rsidRDefault="009E247D" w:rsidP="009E247D">
      <w:pPr>
        <w:shd w:val="clear" w:color="auto" w:fill="FFFFFF"/>
        <w:tabs>
          <w:tab w:val="left" w:pos="504"/>
        </w:tabs>
        <w:spacing w:before="5"/>
        <w:ind w:firstLine="540"/>
        <w:jc w:val="center"/>
        <w:rPr>
          <w:sz w:val="28"/>
          <w:szCs w:val="28"/>
          <w:lang w:val="uk-UA"/>
        </w:rPr>
      </w:pPr>
      <w:r>
        <w:rPr>
          <w:b/>
          <w:color w:val="000000"/>
          <w:spacing w:val="-4"/>
          <w:sz w:val="28"/>
          <w:szCs w:val="28"/>
          <w:lang w:val="uk-UA"/>
        </w:rPr>
        <w:t xml:space="preserve">за темою </w:t>
      </w:r>
      <w:r>
        <w:rPr>
          <w:b/>
          <w:color w:val="000000"/>
          <w:sz w:val="28"/>
          <w:szCs w:val="28"/>
          <w:lang w:val="uk-UA"/>
        </w:rPr>
        <w:t>«Прогноз грошових потоків та фінансових результатів підприємства»</w:t>
      </w:r>
    </w:p>
    <w:p w:rsidR="009E247D" w:rsidRDefault="009E247D" w:rsidP="009E247D">
      <w:pPr>
        <w:shd w:val="clear" w:color="auto" w:fill="FFFFFF"/>
        <w:ind w:firstLine="709"/>
        <w:jc w:val="both"/>
        <w:rPr>
          <w:sz w:val="28"/>
          <w:lang w:val="uk-UA"/>
        </w:rPr>
      </w:pPr>
      <w:r>
        <w:rPr>
          <w:i/>
          <w:color w:val="000000"/>
          <w:sz w:val="28"/>
          <w:lang w:val="uk-UA"/>
        </w:rPr>
        <w:t xml:space="preserve">Мета завдання </w:t>
      </w:r>
      <w:r>
        <w:rPr>
          <w:color w:val="000000"/>
          <w:sz w:val="28"/>
          <w:lang w:val="uk-UA"/>
        </w:rPr>
        <w:t>— виробити навички прогнозуван</w:t>
      </w:r>
      <w:r>
        <w:rPr>
          <w:color w:val="000000"/>
          <w:spacing w:val="-6"/>
          <w:sz w:val="28"/>
          <w:lang w:val="uk-UA"/>
        </w:rPr>
        <w:t>ня у процесі управління господарською діяльністю підприємства.</w:t>
      </w:r>
    </w:p>
    <w:p w:rsidR="009E247D" w:rsidRDefault="009E247D" w:rsidP="009E247D">
      <w:pPr>
        <w:ind w:firstLine="709"/>
        <w:jc w:val="both"/>
        <w:rPr>
          <w:snapToGrid w:val="0"/>
          <w:sz w:val="28"/>
          <w:lang w:val="uk-UA"/>
        </w:rPr>
      </w:pPr>
      <w:r>
        <w:rPr>
          <w:snapToGrid w:val="0"/>
          <w:sz w:val="28"/>
          <w:lang w:val="uk-UA"/>
        </w:rPr>
        <w:t>Ефективність діяльності підприємств і організацій часто залежить від ухвалення оптимальних управлінських рішень, постійного контролю фінансового стану підприємства, аналізу конкурентної здатності і своєчасного реагування на вплив зовнішніх і внутрішніх чинників. Зростає роль стратегічного управлінського обліку і прогнозування, мета яких –  облік і передбачення найважливіших характеристик формування управлінських об'єктів в короткостроковій і довгостроковій перспективах. Оперативні стратегічні прогнози призначені для визначення можливостей в рішенні конкретних аспектів стратегічних прогнозів, короткострокових перспектив і поточної діяльності.</w:t>
      </w:r>
    </w:p>
    <w:p w:rsidR="009E247D" w:rsidRDefault="009E247D" w:rsidP="009E247D">
      <w:pPr>
        <w:shd w:val="clear" w:color="auto" w:fill="FFFFFF"/>
        <w:tabs>
          <w:tab w:val="left" w:pos="504"/>
        </w:tabs>
        <w:ind w:firstLine="709"/>
        <w:jc w:val="both"/>
        <w:rPr>
          <w:color w:val="000000"/>
          <w:spacing w:val="-4"/>
          <w:sz w:val="28"/>
          <w:lang w:val="uk-UA"/>
        </w:rPr>
      </w:pPr>
      <w:r>
        <w:rPr>
          <w:color w:val="000000"/>
          <w:spacing w:val="-4"/>
          <w:sz w:val="28"/>
          <w:lang w:val="uk-UA"/>
        </w:rPr>
        <w:t>Вся прогнозна інформація щодо майбутньої фінансово-господарської діяльності підприємства інтегрується в його прогнозну фінансову звітність.</w:t>
      </w:r>
    </w:p>
    <w:p w:rsidR="009E247D" w:rsidRDefault="009E247D" w:rsidP="009E247D">
      <w:pPr>
        <w:shd w:val="clear" w:color="auto" w:fill="FFFFFF"/>
        <w:tabs>
          <w:tab w:val="left" w:pos="504"/>
        </w:tabs>
        <w:ind w:firstLine="709"/>
        <w:jc w:val="both"/>
        <w:rPr>
          <w:color w:val="000000"/>
          <w:spacing w:val="-4"/>
          <w:sz w:val="28"/>
          <w:lang w:val="uk-UA"/>
        </w:rPr>
      </w:pPr>
      <w:r>
        <w:rPr>
          <w:color w:val="000000"/>
          <w:spacing w:val="-4"/>
          <w:sz w:val="28"/>
          <w:lang w:val="uk-UA"/>
        </w:rPr>
        <w:t>Основний кошторис є прогнозом рентабельності роботи підприємства. Він являє собою розрахунок прибутків і збитків на певний період, до якого надаються розрахунки вартості реалізованої продукції, витрат та касових надходжень. Фактично такий кошторис це балансова таблиця, складена на останнє число періоду, на який формується кошторис.</w:t>
      </w:r>
    </w:p>
    <w:p w:rsidR="009E247D" w:rsidRDefault="009E247D" w:rsidP="009E247D">
      <w:pPr>
        <w:shd w:val="clear" w:color="auto" w:fill="FFFFFF"/>
        <w:tabs>
          <w:tab w:val="left" w:pos="-1701"/>
        </w:tabs>
        <w:ind w:firstLine="709"/>
        <w:jc w:val="both"/>
        <w:rPr>
          <w:color w:val="000000"/>
          <w:spacing w:val="-4"/>
          <w:sz w:val="28"/>
          <w:lang w:val="uk-UA"/>
        </w:rPr>
      </w:pPr>
      <w:r>
        <w:rPr>
          <w:color w:val="000000"/>
          <w:spacing w:val="-4"/>
          <w:sz w:val="28"/>
          <w:lang w:val="uk-UA"/>
        </w:rPr>
        <w:t>Головне призначення прогнозного кошторису полягає в тому, щоб визначити кількість засобів виробництва і коштів, потрібних для виробництва того обсягу продукції, який передбачається реалізувати згідно з прогнозом збуту. Щоб основний прогнозний кошторис міг стати засобом ефективного контролю витрат виробництва, його слід розділити на кілька окремих кошторисів, кожен з яких у свою чергу необхідно розбити на дрібніші статті відповідних витрат. Для керування діяльністю підприємства необхідно складати прогнозні кошториси збуту, виробництва, витрат на матеріали, витрат на робочу силу, накладних витрат, витрат допоміжних служб, розробляти інтегровану систему прогнозної фінансової звітності підприємства.</w:t>
      </w:r>
    </w:p>
    <w:p w:rsidR="009E247D" w:rsidRDefault="009E247D" w:rsidP="009E247D">
      <w:pPr>
        <w:shd w:val="clear" w:color="auto" w:fill="FFFFFF"/>
        <w:tabs>
          <w:tab w:val="left" w:pos="-1701"/>
        </w:tabs>
        <w:ind w:firstLine="709"/>
        <w:jc w:val="both"/>
        <w:rPr>
          <w:color w:val="000000"/>
          <w:spacing w:val="-4"/>
          <w:sz w:val="28"/>
          <w:lang w:val="uk-UA"/>
        </w:rPr>
      </w:pPr>
      <w:r>
        <w:rPr>
          <w:color w:val="000000"/>
          <w:spacing w:val="-4"/>
          <w:sz w:val="28"/>
          <w:lang w:val="uk-UA"/>
        </w:rPr>
        <w:t>Фінансова система підприємства безперервно  взаємодіє із зовнішнім середовищем, формою прояву таких контактів є господарські операції, кожну з яких можна звести до математичного рівняння , що вказує на рівновеликий  взаємозв’язок між фінансовою системою підприємства і середовищем.</w:t>
      </w:r>
    </w:p>
    <w:p w:rsidR="009E247D" w:rsidRDefault="009E247D" w:rsidP="009E247D">
      <w:pPr>
        <w:shd w:val="clear" w:color="auto" w:fill="FFFFFF"/>
        <w:tabs>
          <w:tab w:val="left" w:pos="504"/>
        </w:tabs>
        <w:ind w:firstLine="709"/>
        <w:jc w:val="both"/>
        <w:rPr>
          <w:color w:val="000000"/>
          <w:spacing w:val="-4"/>
          <w:sz w:val="28"/>
          <w:lang w:val="uk-UA"/>
        </w:rPr>
      </w:pPr>
      <w:r>
        <w:rPr>
          <w:color w:val="000000"/>
          <w:spacing w:val="-4"/>
          <w:sz w:val="28"/>
          <w:lang w:val="uk-UA"/>
        </w:rPr>
        <w:t xml:space="preserve">Коли зовнішнє середовище активізує взаємодію з фінансовою системою підприємства, то результатом такої взаємодії є надходження основного і оборотного капіталу до фінансової системи, тобто відбувається збільшення активів та зобов’язань  на ту саму величину, яка фіксується в балансовій моделі додатним числом. Балансова рівність між активами та зобов’язаннями зберігається. </w:t>
      </w:r>
    </w:p>
    <w:p w:rsidR="009E247D" w:rsidRDefault="009E247D" w:rsidP="009E247D">
      <w:pPr>
        <w:shd w:val="clear" w:color="auto" w:fill="FFFFFF"/>
        <w:tabs>
          <w:tab w:val="left" w:pos="504"/>
        </w:tabs>
        <w:ind w:firstLine="709"/>
        <w:jc w:val="both"/>
        <w:rPr>
          <w:color w:val="000000"/>
          <w:spacing w:val="-4"/>
          <w:sz w:val="28"/>
          <w:lang w:val="uk-UA"/>
        </w:rPr>
      </w:pPr>
      <w:r>
        <w:rPr>
          <w:color w:val="000000"/>
          <w:spacing w:val="-4"/>
          <w:sz w:val="28"/>
          <w:lang w:val="uk-UA"/>
        </w:rPr>
        <w:t>Коли фінансова система сама ініціює взаємодію зі своїм зовнішнім середовищем, то відбувається відплив активів і зменшення зобов’язань на ту саму величину. Балансова рівність фінансової  системи  зберігається.</w:t>
      </w:r>
    </w:p>
    <w:p w:rsidR="009E247D" w:rsidRDefault="009E247D" w:rsidP="009E247D">
      <w:pPr>
        <w:shd w:val="clear" w:color="auto" w:fill="FFFFFF"/>
        <w:tabs>
          <w:tab w:val="left" w:pos="504"/>
        </w:tabs>
        <w:spacing w:before="5"/>
        <w:jc w:val="both"/>
        <w:rPr>
          <w:color w:val="000000"/>
          <w:spacing w:val="-4"/>
          <w:lang w:val="uk-UA"/>
        </w:rPr>
      </w:pPr>
      <w:r>
        <w:rPr>
          <w:color w:val="000000"/>
          <w:spacing w:val="-4"/>
          <w:sz w:val="28"/>
          <w:lang w:val="uk-UA"/>
        </w:rPr>
        <w:lastRenderedPageBreak/>
        <w:t xml:space="preserve">Операції, що відбуваються всередині підсистеми активів підприємства, спричиняють полярні рівновеликі зміни в об’єктах активів підприємства, які контактують між собою. Балансове рівняння при цьому не змінюється. Операції, які відбуваються всередині підсистеми зобов’язань підприємства, викликають  рівновеликі полярні зміни в пов’язаних між собою об’єктах зобов’язань підприємства. </w:t>
      </w:r>
    </w:p>
    <w:p w:rsidR="009E247D" w:rsidRDefault="009E247D" w:rsidP="009E247D">
      <w:pPr>
        <w:shd w:val="clear" w:color="auto" w:fill="FFFFFF"/>
        <w:tabs>
          <w:tab w:val="left" w:pos="504"/>
        </w:tabs>
        <w:ind w:firstLine="709"/>
        <w:rPr>
          <w:color w:val="000000"/>
          <w:spacing w:val="-4"/>
          <w:sz w:val="28"/>
          <w:lang w:val="uk-UA"/>
        </w:rPr>
      </w:pPr>
      <w:r>
        <w:rPr>
          <w:b/>
          <w:lang w:val="uk-UA"/>
        </w:rPr>
        <w:t>П</w:t>
      </w:r>
      <w:r>
        <w:rPr>
          <w:b/>
          <w:sz w:val="28"/>
          <w:lang w:val="uk-UA"/>
        </w:rPr>
        <w:t>риклад</w:t>
      </w:r>
    </w:p>
    <w:p w:rsidR="009E247D" w:rsidRDefault="009E247D" w:rsidP="009E247D">
      <w:pPr>
        <w:pStyle w:val="a5"/>
        <w:spacing w:line="240" w:lineRule="auto"/>
        <w:ind w:firstLine="709"/>
        <w:rPr>
          <w:snapToGrid w:val="0"/>
          <w:lang w:val="uk-UA"/>
        </w:rPr>
      </w:pPr>
      <w:r>
        <w:rPr>
          <w:snapToGrid w:val="0"/>
          <w:lang w:val="uk-UA"/>
        </w:rPr>
        <w:t>Аналіз ВАТ «</w:t>
      </w:r>
      <w:proofErr w:type="spellStart"/>
      <w:r>
        <w:rPr>
          <w:snapToGrid w:val="0"/>
          <w:lang w:val="uk-UA"/>
        </w:rPr>
        <w:t>Автотранс-Хортиця</w:t>
      </w:r>
      <w:proofErr w:type="spellEnd"/>
      <w:r>
        <w:rPr>
          <w:snapToGrid w:val="0"/>
          <w:lang w:val="uk-UA"/>
        </w:rPr>
        <w:t xml:space="preserve">» на кінець 2003 р. показав, що активи підприємства зменшилися на 276,2 </w:t>
      </w:r>
      <w:proofErr w:type="spellStart"/>
      <w:r>
        <w:rPr>
          <w:snapToGrid w:val="0"/>
          <w:lang w:val="uk-UA"/>
        </w:rPr>
        <w:t>тис.грн</w:t>
      </w:r>
      <w:proofErr w:type="spellEnd"/>
      <w:r>
        <w:rPr>
          <w:snapToGrid w:val="0"/>
          <w:lang w:val="uk-UA"/>
        </w:rPr>
        <w:t xml:space="preserve">. або на 15,3%, накопичений збиток склав 2148,4 </w:t>
      </w:r>
      <w:proofErr w:type="spellStart"/>
      <w:r>
        <w:rPr>
          <w:snapToGrid w:val="0"/>
          <w:lang w:val="uk-UA"/>
        </w:rPr>
        <w:t>тис.грн</w:t>
      </w:r>
      <w:proofErr w:type="spellEnd"/>
      <w:r>
        <w:rPr>
          <w:snapToGrid w:val="0"/>
          <w:lang w:val="uk-UA"/>
        </w:rPr>
        <w:t xml:space="preserve">., частка необоротних активів в загальній валюті балансу – 80%, підприємство </w:t>
      </w:r>
      <w:proofErr w:type="spellStart"/>
      <w:r>
        <w:rPr>
          <w:snapToGrid w:val="0"/>
          <w:lang w:val="uk-UA"/>
        </w:rPr>
        <w:t>платоспроможно</w:t>
      </w:r>
      <w:proofErr w:type="spellEnd"/>
      <w:r>
        <w:rPr>
          <w:snapToGrid w:val="0"/>
          <w:lang w:val="uk-UA"/>
        </w:rPr>
        <w:t xml:space="preserve"> на 97%. Дефіцит власного оборотного капіталу – 10,3 </w:t>
      </w:r>
      <w:proofErr w:type="spellStart"/>
      <w:r>
        <w:rPr>
          <w:snapToGrid w:val="0"/>
          <w:lang w:val="uk-UA"/>
        </w:rPr>
        <w:t>тис.грн</w:t>
      </w:r>
      <w:proofErr w:type="spellEnd"/>
      <w:r>
        <w:rPr>
          <w:snapToGrid w:val="0"/>
          <w:lang w:val="uk-UA"/>
        </w:rPr>
        <w:t xml:space="preserve">. Власний капітал складає 1181,8 </w:t>
      </w:r>
      <w:proofErr w:type="spellStart"/>
      <w:r>
        <w:rPr>
          <w:snapToGrid w:val="0"/>
          <w:lang w:val="uk-UA"/>
        </w:rPr>
        <w:t>тис.грн</w:t>
      </w:r>
      <w:proofErr w:type="spellEnd"/>
      <w:r>
        <w:rPr>
          <w:snapToGrid w:val="0"/>
          <w:lang w:val="uk-UA"/>
        </w:rPr>
        <w:t xml:space="preserve">., в якому сума статутного капіталу – 912,4 </w:t>
      </w:r>
      <w:proofErr w:type="spellStart"/>
      <w:r>
        <w:rPr>
          <w:snapToGrid w:val="0"/>
          <w:lang w:val="uk-UA"/>
        </w:rPr>
        <w:t>тис.грн</w:t>
      </w:r>
      <w:proofErr w:type="spellEnd"/>
      <w:r>
        <w:rPr>
          <w:snapToGrid w:val="0"/>
          <w:lang w:val="uk-UA"/>
        </w:rPr>
        <w:t xml:space="preserve">., що сигналізує про швидку майбутню тенденцію «проїдання» статутної фонду. Збиток звітного періоду – 164,2 </w:t>
      </w:r>
      <w:proofErr w:type="spellStart"/>
      <w:r>
        <w:rPr>
          <w:snapToGrid w:val="0"/>
          <w:lang w:val="uk-UA"/>
        </w:rPr>
        <w:t>тис.грн</w:t>
      </w:r>
      <w:proofErr w:type="spellEnd"/>
      <w:r>
        <w:rPr>
          <w:snapToGrid w:val="0"/>
          <w:lang w:val="uk-UA"/>
        </w:rPr>
        <w:t xml:space="preserve">. Підприємство можна визнати фінансово нестійким. </w:t>
      </w:r>
    </w:p>
    <w:p w:rsidR="009E247D" w:rsidRDefault="009E247D" w:rsidP="009E247D">
      <w:pPr>
        <w:pStyle w:val="a3"/>
        <w:tabs>
          <w:tab w:val="left" w:pos="708"/>
        </w:tabs>
        <w:spacing w:line="240" w:lineRule="auto"/>
        <w:ind w:firstLine="709"/>
        <w:rPr>
          <w:lang w:val="uk-UA"/>
        </w:rPr>
      </w:pPr>
      <w:r>
        <w:rPr>
          <w:snapToGrid w:val="0"/>
          <w:lang w:val="uk-UA"/>
        </w:rPr>
        <w:t xml:space="preserve">Правління, враховуючи обстановку, що склалася, визначило наступні напрямки для підвищення ефективності діяльності і відновлення платоспроможності: 1) оновлення рухомого складу за рахунок довгострокового кредиту (на три роки); 2) клопотання про збільшення сум державних дотацій; 3) здача в оренду вільні виробничі площі; 4) додаткова емісія акцій; 5) заходи щодо залучення нових потенційних клієнтів. </w:t>
      </w:r>
      <w:r>
        <w:rPr>
          <w:lang w:val="uk-UA"/>
        </w:rPr>
        <w:t>Прогноз руху грошових коштів представлений в таблиці 1.</w:t>
      </w:r>
    </w:p>
    <w:p w:rsidR="009E247D" w:rsidRDefault="009E247D" w:rsidP="009E247D">
      <w:pPr>
        <w:ind w:firstLine="709"/>
        <w:jc w:val="both"/>
        <w:rPr>
          <w:snapToGrid w:val="0"/>
          <w:sz w:val="28"/>
          <w:lang w:val="uk-UA"/>
        </w:rPr>
      </w:pPr>
      <w:r>
        <w:rPr>
          <w:snapToGrid w:val="0"/>
          <w:sz w:val="28"/>
          <w:lang w:val="uk-UA"/>
        </w:rPr>
        <w:t xml:space="preserve"> Таблиця 1 Прогноз руху грошових коштів по запропонованих заходах, </w:t>
      </w:r>
      <w:proofErr w:type="spellStart"/>
      <w:r>
        <w:rPr>
          <w:snapToGrid w:val="0"/>
          <w:sz w:val="28"/>
          <w:lang w:val="uk-UA"/>
        </w:rPr>
        <w:t>тис.грн</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594"/>
        <w:gridCol w:w="1594"/>
        <w:gridCol w:w="1489"/>
      </w:tblGrid>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napToGrid w:val="0"/>
                <w:sz w:val="22"/>
                <w:szCs w:val="22"/>
                <w:lang w:val="uk-UA" w:eastAsia="en-US"/>
              </w:rPr>
              <w:t>Прогнозні операції</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1 рік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2 рік</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3рік</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b/>
                <w:sz w:val="22"/>
                <w:lang w:val="uk-UA" w:eastAsia="en-US"/>
              </w:rPr>
            </w:pPr>
            <w:r>
              <w:rPr>
                <w:b/>
                <w:sz w:val="22"/>
                <w:szCs w:val="22"/>
                <w:lang w:val="uk-UA" w:eastAsia="en-US"/>
              </w:rPr>
              <w:t>Захід 1</w:t>
            </w: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rPr>
                <w:sz w:val="22"/>
                <w:lang w:val="uk-UA" w:eastAsia="en-US"/>
              </w:rPr>
            </w:pPr>
            <w:r>
              <w:rPr>
                <w:snapToGrid w:val="0"/>
                <w:sz w:val="22"/>
                <w:szCs w:val="22"/>
                <w:lang w:val="uk-UA" w:eastAsia="en-US"/>
              </w:rPr>
              <w:t>1.Отримання кредиту</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400</w:t>
            </w: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2. Придбання автобусів</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(400)</w:t>
            </w: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3. Витрати на паливо і ремонт</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(33,3)</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(33,3)</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(33,3)</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4. Зарплата з нарахуваннями</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(83,4)</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(83,4)</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(83,4)</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rPr>
                <w:sz w:val="22"/>
                <w:lang w:val="uk-UA" w:eastAsia="en-US"/>
              </w:rPr>
            </w:pPr>
            <w:r>
              <w:rPr>
                <w:snapToGrid w:val="0"/>
                <w:sz w:val="22"/>
                <w:szCs w:val="22"/>
                <w:lang w:val="uk-UA" w:eastAsia="en-US"/>
              </w:rPr>
              <w:t xml:space="preserve">5. Знос </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(100)</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(75)</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(56,25)</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6. Прогнозна виручка від заходу 1</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459,6</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459,6</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459,6</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7. Повернення кредиту</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(133,33)</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(133,33)</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(133,33)</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8. Оплата відсотків по кредиту</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(92,0)</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(61,33)</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(30,67)</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9. Прогнозний прибуток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17,57</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73,24</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122,65</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10. Коефіцієнт дисконтування (10%)*</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0,909</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0,826</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0,751</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11. Приведений прибуток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15,97</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60,53</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92,15</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12. Податок на прибуток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4,79</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18,16</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27,64</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13. Чистий грошовий потік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11,18</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42,37</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64,50</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i/>
                <w:sz w:val="22"/>
                <w:lang w:val="uk-UA" w:eastAsia="en-US"/>
              </w:rPr>
            </w:pPr>
            <w:r>
              <w:rPr>
                <w:i/>
                <w:snapToGrid w:val="0"/>
                <w:sz w:val="22"/>
                <w:szCs w:val="22"/>
                <w:lang w:val="uk-UA" w:eastAsia="en-US"/>
              </w:rPr>
              <w:t>14. Чистий грошовий потік наростаючим підсумком</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11,18</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53,55</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118,06</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34"/>
              <w:jc w:val="center"/>
              <w:rPr>
                <w:b/>
                <w:sz w:val="22"/>
                <w:lang w:val="uk-UA" w:eastAsia="en-US"/>
              </w:rPr>
            </w:pPr>
            <w:r>
              <w:rPr>
                <w:b/>
                <w:snapToGrid w:val="0"/>
                <w:sz w:val="22"/>
                <w:szCs w:val="22"/>
                <w:lang w:val="uk-UA" w:eastAsia="en-US"/>
              </w:rPr>
              <w:lastRenderedPageBreak/>
              <w:t>Захід 2</w:t>
            </w: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1. Отримання дотації</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600,6</w:t>
            </w: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2. Коефіцієнт дисконтування (20%)</w:t>
            </w:r>
            <w:r>
              <w:rPr>
                <w:snapToGrid w:val="0"/>
                <w:sz w:val="22"/>
                <w:szCs w:val="22"/>
                <w:lang w:val="uk-UA" w:eastAsia="en-US"/>
              </w:rPr>
              <w:tab/>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0,833</w:t>
            </w: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i/>
                <w:sz w:val="22"/>
                <w:lang w:val="uk-UA" w:eastAsia="en-US"/>
              </w:rPr>
            </w:pPr>
            <w:r>
              <w:rPr>
                <w:i/>
                <w:snapToGrid w:val="0"/>
                <w:sz w:val="22"/>
                <w:szCs w:val="22"/>
                <w:lang w:val="uk-UA" w:eastAsia="en-US"/>
              </w:rPr>
              <w:t>3. Приведена сума дотації</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i/>
                <w:sz w:val="22"/>
                <w:lang w:val="uk-UA" w:eastAsia="en-US"/>
              </w:rPr>
            </w:pPr>
            <w:r>
              <w:rPr>
                <w:i/>
                <w:sz w:val="22"/>
                <w:szCs w:val="22"/>
                <w:lang w:val="uk-UA" w:eastAsia="en-US"/>
              </w:rPr>
              <w:t>500,3</w:t>
            </w: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i/>
                <w:sz w:val="22"/>
                <w:lang w:val="uk-UA"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i/>
                <w:sz w:val="22"/>
                <w:lang w:val="uk-UA" w:eastAsia="en-US"/>
              </w:rPr>
            </w:pP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b/>
                <w:sz w:val="22"/>
                <w:lang w:val="uk-UA" w:eastAsia="en-US"/>
              </w:rPr>
            </w:pPr>
            <w:r>
              <w:rPr>
                <w:b/>
                <w:snapToGrid w:val="0"/>
                <w:sz w:val="22"/>
                <w:szCs w:val="22"/>
                <w:lang w:val="uk-UA" w:eastAsia="en-US"/>
              </w:rPr>
              <w:t>Захід 3</w:t>
            </w: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jc w:val="center"/>
              <w:rPr>
                <w:sz w:val="22"/>
                <w:lang w:val="uk-UA" w:eastAsia="en-US"/>
              </w:rPr>
            </w:pP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1. Здача в оренду виробничих площ</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4,0</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4,0</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4,0</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2. Здача в оренду транспортних засобів</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5,5</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5,5</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5,5</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3. Знос</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(3,3)</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(3,0)</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center"/>
              <w:rPr>
                <w:sz w:val="22"/>
                <w:lang w:val="uk-UA" w:eastAsia="en-US"/>
              </w:rPr>
            </w:pPr>
            <w:r>
              <w:rPr>
                <w:sz w:val="22"/>
                <w:szCs w:val="22"/>
                <w:lang w:val="uk-UA" w:eastAsia="en-US"/>
              </w:rPr>
              <w:t>(2,9)</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4. Прогнозний прибуток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6,2</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6,5</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6,6</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5. Коефіцієнт дисконтування (8%)</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0,926</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0,857</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0,794</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6. Приведений прибуток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5,74</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5,57</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5,24</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7. Податок на прибуток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1,72</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1,67</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1,57</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8. Чистий грошовий потік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4,02</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3,90</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3,67</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i/>
                <w:sz w:val="22"/>
                <w:lang w:val="uk-UA" w:eastAsia="en-US"/>
              </w:rPr>
            </w:pPr>
            <w:r>
              <w:rPr>
                <w:i/>
                <w:snapToGrid w:val="0"/>
                <w:sz w:val="22"/>
                <w:szCs w:val="22"/>
                <w:lang w:val="uk-UA" w:eastAsia="en-US"/>
              </w:rPr>
              <w:t>9. Чистий грошовий потік  наростаючим підсумком</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4,02</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7,92</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11,59</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b/>
                <w:sz w:val="22"/>
                <w:lang w:val="uk-UA" w:eastAsia="en-US"/>
              </w:rPr>
            </w:pPr>
            <w:r>
              <w:rPr>
                <w:b/>
                <w:snapToGrid w:val="0"/>
                <w:sz w:val="22"/>
                <w:szCs w:val="22"/>
                <w:lang w:val="uk-UA" w:eastAsia="en-US"/>
              </w:rPr>
              <w:t>Захід 4</w:t>
            </w: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spacing w:line="360" w:lineRule="auto"/>
              <w:ind w:firstLine="709"/>
              <w:jc w:val="center"/>
              <w:rPr>
                <w:snapToGrid w:val="0"/>
                <w:color w:val="000000"/>
                <w:sz w:val="22"/>
                <w:lang w:val="uk-UA" w:eastAsia="en-US"/>
              </w:rPr>
            </w:pPr>
          </w:p>
        </w:tc>
        <w:tc>
          <w:tcPr>
            <w:tcW w:w="1594" w:type="dxa"/>
            <w:tcBorders>
              <w:top w:val="single" w:sz="4" w:space="0" w:color="auto"/>
              <w:left w:val="single" w:sz="4" w:space="0" w:color="auto"/>
              <w:bottom w:val="single" w:sz="4" w:space="0" w:color="auto"/>
              <w:right w:val="single" w:sz="4" w:space="0" w:color="auto"/>
            </w:tcBorders>
            <w:vAlign w:val="center"/>
          </w:tcPr>
          <w:p w:rsidR="009E247D" w:rsidRDefault="009E247D">
            <w:pPr>
              <w:spacing w:line="360" w:lineRule="auto"/>
              <w:ind w:firstLine="709"/>
              <w:jc w:val="center"/>
              <w:rPr>
                <w:snapToGrid w:val="0"/>
                <w:color w:val="000000"/>
                <w:sz w:val="22"/>
                <w:lang w:val="uk-UA" w:eastAsia="en-US"/>
              </w:rPr>
            </w:pPr>
          </w:p>
        </w:tc>
        <w:tc>
          <w:tcPr>
            <w:tcW w:w="1489" w:type="dxa"/>
            <w:tcBorders>
              <w:top w:val="single" w:sz="4" w:space="0" w:color="auto"/>
              <w:left w:val="single" w:sz="4" w:space="0" w:color="auto"/>
              <w:bottom w:val="single" w:sz="4" w:space="0" w:color="auto"/>
              <w:right w:val="single" w:sz="4" w:space="0" w:color="auto"/>
            </w:tcBorders>
            <w:vAlign w:val="center"/>
          </w:tcPr>
          <w:p w:rsidR="009E247D" w:rsidRDefault="009E247D">
            <w:pPr>
              <w:spacing w:line="360" w:lineRule="auto"/>
              <w:ind w:firstLine="709"/>
              <w:jc w:val="center"/>
              <w:rPr>
                <w:snapToGrid w:val="0"/>
                <w:color w:val="000000"/>
                <w:sz w:val="22"/>
                <w:lang w:val="uk-UA" w:eastAsia="en-US"/>
              </w:rPr>
            </w:pP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1. Додаткова емісія акцій</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43,8</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26,28</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17,52</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2. Витрати (організаційні)</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(4,0)</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(3,6)</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(3,6)</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3. Прогнозний прибуток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39,8</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22,68</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13,92</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4. Коефіцієнт дисконтування (5%)</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0,952</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0,907</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0,864</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napToGrid w:val="0"/>
                <w:sz w:val="22"/>
                <w:szCs w:val="22"/>
                <w:lang w:val="uk-UA" w:eastAsia="en-US"/>
              </w:rPr>
              <w:t>5. Приведений прибуток</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37,90</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20,57</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snapToGrid w:val="0"/>
                <w:color w:val="000000"/>
                <w:sz w:val="22"/>
                <w:lang w:val="uk-UA" w:eastAsia="en-US"/>
              </w:rPr>
            </w:pPr>
            <w:r>
              <w:rPr>
                <w:snapToGrid w:val="0"/>
                <w:color w:val="000000"/>
                <w:sz w:val="22"/>
                <w:szCs w:val="22"/>
                <w:lang w:val="uk-UA" w:eastAsia="en-US"/>
              </w:rPr>
              <w:t>12,02</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i/>
                <w:sz w:val="22"/>
                <w:lang w:val="uk-UA" w:eastAsia="en-US"/>
              </w:rPr>
            </w:pPr>
            <w:r>
              <w:rPr>
                <w:i/>
                <w:snapToGrid w:val="0"/>
                <w:sz w:val="22"/>
                <w:szCs w:val="22"/>
                <w:lang w:val="uk-UA" w:eastAsia="en-US"/>
              </w:rPr>
              <w:t>6. Чистий грошовий потік з наростаючим підсумком</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37,90</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58,48</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70,50</w:t>
            </w:r>
          </w:p>
        </w:tc>
      </w:tr>
      <w:tr w:rsidR="009E247D" w:rsidTr="009E247D">
        <w:tc>
          <w:tcPr>
            <w:tcW w:w="4962" w:type="dxa"/>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i/>
                <w:sz w:val="22"/>
                <w:lang w:val="uk-UA" w:eastAsia="en-US"/>
              </w:rPr>
            </w:pPr>
            <w:r>
              <w:rPr>
                <w:i/>
                <w:snapToGrid w:val="0"/>
                <w:sz w:val="22"/>
                <w:szCs w:val="22"/>
                <w:lang w:val="uk-UA" w:eastAsia="en-US"/>
              </w:rPr>
              <w:t>Чистий грошовий потік наростаючим підсумком по всіх заходах</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553,4</w:t>
            </w:r>
          </w:p>
        </w:tc>
        <w:tc>
          <w:tcPr>
            <w:tcW w:w="1594"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673,35</w:t>
            </w:r>
          </w:p>
        </w:tc>
        <w:tc>
          <w:tcPr>
            <w:tcW w:w="1489" w:type="dxa"/>
            <w:tcBorders>
              <w:top w:val="single" w:sz="4" w:space="0" w:color="auto"/>
              <w:left w:val="single" w:sz="4" w:space="0" w:color="auto"/>
              <w:bottom w:val="single" w:sz="4" w:space="0" w:color="auto"/>
              <w:right w:val="single" w:sz="4" w:space="0" w:color="auto"/>
            </w:tcBorders>
            <w:vAlign w:val="center"/>
            <w:hideMark/>
          </w:tcPr>
          <w:p w:rsidR="009E247D" w:rsidRDefault="009E247D">
            <w:pPr>
              <w:spacing w:line="360" w:lineRule="auto"/>
              <w:ind w:firstLine="709"/>
              <w:jc w:val="center"/>
              <w:rPr>
                <w:i/>
                <w:snapToGrid w:val="0"/>
                <w:color w:val="000000"/>
                <w:sz w:val="22"/>
                <w:lang w:val="uk-UA" w:eastAsia="en-US"/>
              </w:rPr>
            </w:pPr>
            <w:r>
              <w:rPr>
                <w:i/>
                <w:snapToGrid w:val="0"/>
                <w:color w:val="000000"/>
                <w:sz w:val="22"/>
                <w:szCs w:val="22"/>
                <w:lang w:val="uk-UA" w:eastAsia="en-US"/>
              </w:rPr>
              <w:t>873,5</w:t>
            </w:r>
          </w:p>
        </w:tc>
      </w:tr>
    </w:tbl>
    <w:p w:rsidR="009E247D" w:rsidRDefault="009E247D" w:rsidP="009E247D">
      <w:pPr>
        <w:pStyle w:val="3"/>
        <w:spacing w:line="240" w:lineRule="auto"/>
        <w:ind w:left="360"/>
        <w:jc w:val="both"/>
        <w:rPr>
          <w:lang w:val="uk-UA"/>
        </w:rPr>
      </w:pPr>
      <w:r>
        <w:rPr>
          <w:lang w:val="uk-UA"/>
        </w:rPr>
        <w:t xml:space="preserve">Коефіцієнт дисконтування необхідний для приведення грошового потоку у часі: </w:t>
      </w:r>
      <w:r>
        <w:rPr>
          <w:position w:val="-32"/>
          <w:lang w:val="uk-UA"/>
        </w:rPr>
        <w:object w:dxaOrig="8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35.25pt" o:ole="" fillcolor="window">
            <v:imagedata r:id="rId4" o:title=""/>
          </v:shape>
          <o:OLEObject Type="Embed" ProgID="Equation.3" ShapeID="_x0000_i1025" DrawAspect="Content" ObjectID="_1665303171" r:id="rId5"/>
        </w:object>
      </w:r>
    </w:p>
    <w:p w:rsidR="009E247D" w:rsidRDefault="009E247D" w:rsidP="009E247D">
      <w:pPr>
        <w:pStyle w:val="a5"/>
        <w:spacing w:line="240" w:lineRule="auto"/>
        <w:rPr>
          <w:snapToGrid w:val="0"/>
          <w:lang w:val="uk-UA"/>
        </w:rPr>
      </w:pPr>
      <w:r>
        <w:rPr>
          <w:snapToGrid w:val="0"/>
          <w:lang w:val="uk-UA"/>
        </w:rPr>
        <w:t xml:space="preserve">До прогнозного балансу нових перспективних заходів (фрагмент представлений в табл. 2) додається такий же баланс, складений для поточної основної діяльності (з урахуванням управлінських рішень по оптимізації витрат, запасів і т.д.).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612"/>
        <w:gridCol w:w="693"/>
        <w:gridCol w:w="612"/>
        <w:gridCol w:w="612"/>
        <w:gridCol w:w="858"/>
        <w:gridCol w:w="612"/>
        <w:gridCol w:w="612"/>
        <w:gridCol w:w="748"/>
        <w:gridCol w:w="612"/>
      </w:tblGrid>
      <w:tr w:rsidR="009E247D" w:rsidTr="009E247D">
        <w:trPr>
          <w:cantSplit/>
          <w:trHeight w:val="240"/>
        </w:trPr>
        <w:tc>
          <w:tcPr>
            <w:tcW w:w="0" w:type="auto"/>
            <w:gridSpan w:val="10"/>
            <w:tcBorders>
              <w:top w:val="nil"/>
              <w:left w:val="nil"/>
              <w:bottom w:val="single" w:sz="4" w:space="0" w:color="auto"/>
              <w:right w:val="nil"/>
            </w:tcBorders>
            <w:vAlign w:val="center"/>
            <w:hideMark/>
          </w:tcPr>
          <w:p w:rsidR="009E247D" w:rsidRDefault="009E247D">
            <w:pPr>
              <w:pStyle w:val="a3"/>
              <w:spacing w:line="240" w:lineRule="auto"/>
              <w:ind w:firstLine="540"/>
              <w:rPr>
                <w:lang w:val="uk-UA" w:eastAsia="en-US"/>
              </w:rPr>
            </w:pPr>
            <w:r>
              <w:rPr>
                <w:lang w:val="uk-UA" w:eastAsia="en-US"/>
              </w:rPr>
              <w:t>Таблиця 2. – Прогнозний баланс по заходу 1 для ВАТ «</w:t>
            </w:r>
            <w:proofErr w:type="spellStart"/>
            <w:r>
              <w:rPr>
                <w:lang w:val="uk-UA" w:eastAsia="en-US"/>
              </w:rPr>
              <w:t>Автотранс-Хортица</w:t>
            </w:r>
            <w:proofErr w:type="spellEnd"/>
            <w:r>
              <w:rPr>
                <w:lang w:val="uk-UA" w:eastAsia="en-US"/>
              </w:rPr>
              <w:t>»</w:t>
            </w:r>
          </w:p>
        </w:tc>
      </w:tr>
      <w:tr w:rsidR="009E247D" w:rsidTr="009E247D">
        <w:trPr>
          <w:cantSplit/>
          <w:trHeight w:val="240"/>
        </w:trPr>
        <w:tc>
          <w:tcPr>
            <w:tcW w:w="0" w:type="auto"/>
            <w:vMerge w:val="restart"/>
            <w:tcBorders>
              <w:top w:val="single" w:sz="4" w:space="0" w:color="auto"/>
              <w:left w:val="single" w:sz="4" w:space="0" w:color="auto"/>
              <w:bottom w:val="nil"/>
              <w:right w:val="single" w:sz="4" w:space="0" w:color="auto"/>
            </w:tcBorders>
            <w:vAlign w:val="center"/>
            <w:hideMark/>
          </w:tcPr>
          <w:p w:rsidR="009E247D" w:rsidRDefault="009E247D">
            <w:pPr>
              <w:pStyle w:val="a3"/>
              <w:spacing w:line="240" w:lineRule="auto"/>
              <w:ind w:firstLine="709"/>
              <w:rPr>
                <w:b/>
                <w:sz w:val="22"/>
                <w:lang w:val="uk-UA" w:eastAsia="en-US"/>
              </w:rPr>
            </w:pPr>
            <w:r>
              <w:rPr>
                <w:b/>
                <w:sz w:val="22"/>
                <w:szCs w:val="22"/>
                <w:lang w:val="uk-UA" w:eastAsia="en-US"/>
              </w:rPr>
              <w:t>Операції</w:t>
            </w: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b/>
                <w:sz w:val="22"/>
                <w:lang w:val="uk-UA" w:eastAsia="en-US"/>
              </w:rPr>
            </w:pPr>
            <w:r>
              <w:rPr>
                <w:b/>
                <w:sz w:val="22"/>
                <w:szCs w:val="22"/>
                <w:lang w:val="uk-UA" w:eastAsia="en-US"/>
              </w:rPr>
              <w:t>Активи</w:t>
            </w:r>
          </w:p>
        </w:tc>
        <w:tc>
          <w:tcPr>
            <w:tcW w:w="0" w:type="auto"/>
            <w:vMerge w:val="restart"/>
            <w:tcBorders>
              <w:top w:val="single" w:sz="4" w:space="0" w:color="auto"/>
              <w:left w:val="single" w:sz="4" w:space="0" w:color="auto"/>
              <w:bottom w:val="nil"/>
              <w:right w:val="single" w:sz="4" w:space="0" w:color="auto"/>
            </w:tcBorders>
            <w:textDirection w:val="btLr"/>
            <w:vAlign w:val="center"/>
            <w:hideMark/>
          </w:tcPr>
          <w:p w:rsidR="009E247D" w:rsidRDefault="009E247D">
            <w:pPr>
              <w:pStyle w:val="a3"/>
              <w:spacing w:line="240" w:lineRule="auto"/>
              <w:ind w:left="113" w:right="113" w:firstLine="709"/>
              <w:rPr>
                <w:b/>
                <w:sz w:val="22"/>
                <w:lang w:val="uk-UA" w:eastAsia="en-US"/>
              </w:rPr>
            </w:pPr>
            <w:r>
              <w:rPr>
                <w:b/>
                <w:sz w:val="22"/>
                <w:szCs w:val="22"/>
                <w:lang w:val="uk-UA" w:eastAsia="en-US"/>
              </w:rPr>
              <w:t xml:space="preserve">Баланс </w:t>
            </w:r>
          </w:p>
        </w:tc>
      </w:tr>
      <w:tr w:rsidR="009E247D" w:rsidTr="009E247D">
        <w:trPr>
          <w:cantSplit/>
          <w:trHeight w:val="1718"/>
        </w:trPr>
        <w:tc>
          <w:tcPr>
            <w:tcW w:w="0" w:type="auto"/>
            <w:vMerge/>
            <w:tcBorders>
              <w:top w:val="single" w:sz="4" w:space="0" w:color="auto"/>
              <w:left w:val="single" w:sz="4" w:space="0" w:color="auto"/>
              <w:bottom w:val="nil"/>
              <w:right w:val="single" w:sz="4" w:space="0" w:color="auto"/>
            </w:tcBorders>
            <w:vAlign w:val="center"/>
            <w:hideMark/>
          </w:tcPr>
          <w:p w:rsidR="009E247D" w:rsidRDefault="009E247D">
            <w:pPr>
              <w:rPr>
                <w:b/>
                <w:sz w:val="22"/>
                <w:lang w:val="uk-UA" w:eastAsia="en-US"/>
              </w:rPr>
            </w:pPr>
          </w:p>
        </w:tc>
        <w:tc>
          <w:tcPr>
            <w:tcW w:w="0" w:type="auto"/>
            <w:tcBorders>
              <w:top w:val="single" w:sz="4" w:space="0" w:color="auto"/>
              <w:left w:val="single" w:sz="4" w:space="0" w:color="auto"/>
              <w:bottom w:val="nil"/>
              <w:right w:val="single" w:sz="4" w:space="0" w:color="auto"/>
            </w:tcBorders>
            <w:textDirection w:val="btLr"/>
            <w:vAlign w:val="center"/>
            <w:hideMark/>
          </w:tcPr>
          <w:p w:rsidR="009E247D" w:rsidRDefault="009E247D">
            <w:pPr>
              <w:pStyle w:val="a3"/>
              <w:spacing w:line="240" w:lineRule="auto"/>
              <w:ind w:left="113" w:right="113" w:firstLine="709"/>
              <w:rPr>
                <w:b/>
                <w:sz w:val="22"/>
                <w:lang w:val="uk-UA" w:eastAsia="en-US"/>
              </w:rPr>
            </w:pPr>
            <w:r>
              <w:rPr>
                <w:b/>
                <w:sz w:val="22"/>
                <w:szCs w:val="22"/>
                <w:lang w:val="uk-UA" w:eastAsia="en-US"/>
              </w:rPr>
              <w:t>Основні засоби</w:t>
            </w:r>
          </w:p>
        </w:tc>
        <w:tc>
          <w:tcPr>
            <w:tcW w:w="0" w:type="auto"/>
            <w:tcBorders>
              <w:top w:val="single" w:sz="4" w:space="0" w:color="auto"/>
              <w:left w:val="single" w:sz="4" w:space="0" w:color="auto"/>
              <w:bottom w:val="nil"/>
              <w:right w:val="single" w:sz="4" w:space="0" w:color="auto"/>
            </w:tcBorders>
            <w:textDirection w:val="btLr"/>
            <w:vAlign w:val="center"/>
            <w:hideMark/>
          </w:tcPr>
          <w:p w:rsidR="009E247D" w:rsidRDefault="009E247D">
            <w:pPr>
              <w:pStyle w:val="a3"/>
              <w:spacing w:line="240" w:lineRule="auto"/>
              <w:ind w:left="113" w:right="113" w:firstLine="709"/>
              <w:rPr>
                <w:b/>
                <w:sz w:val="22"/>
                <w:lang w:val="uk-UA" w:eastAsia="en-US"/>
              </w:rPr>
            </w:pPr>
            <w:r>
              <w:rPr>
                <w:b/>
                <w:sz w:val="22"/>
                <w:szCs w:val="22"/>
                <w:lang w:val="uk-UA" w:eastAsia="en-US"/>
              </w:rPr>
              <w:t>Амортизація</w:t>
            </w:r>
          </w:p>
        </w:tc>
        <w:tc>
          <w:tcPr>
            <w:tcW w:w="0" w:type="auto"/>
            <w:tcBorders>
              <w:top w:val="single" w:sz="4" w:space="0" w:color="auto"/>
              <w:left w:val="single" w:sz="4" w:space="0" w:color="auto"/>
              <w:bottom w:val="nil"/>
              <w:right w:val="single" w:sz="4" w:space="0" w:color="auto"/>
            </w:tcBorders>
            <w:textDirection w:val="btLr"/>
            <w:vAlign w:val="center"/>
            <w:hideMark/>
          </w:tcPr>
          <w:p w:rsidR="009E247D" w:rsidRDefault="009E247D">
            <w:pPr>
              <w:pStyle w:val="a3"/>
              <w:spacing w:line="240" w:lineRule="auto"/>
              <w:ind w:left="113" w:right="113" w:firstLine="709"/>
              <w:rPr>
                <w:b/>
                <w:sz w:val="22"/>
                <w:lang w:val="uk-UA" w:eastAsia="en-US"/>
              </w:rPr>
            </w:pPr>
            <w:proofErr w:type="spellStart"/>
            <w:r>
              <w:rPr>
                <w:b/>
                <w:sz w:val="22"/>
                <w:szCs w:val="22"/>
                <w:lang w:val="uk-UA" w:eastAsia="en-US"/>
              </w:rPr>
              <w:t>Дебіт-ка</w:t>
            </w:r>
            <w:proofErr w:type="spellEnd"/>
            <w:r>
              <w:rPr>
                <w:b/>
                <w:sz w:val="22"/>
                <w:szCs w:val="22"/>
                <w:lang w:val="uk-UA" w:eastAsia="en-US"/>
              </w:rPr>
              <w:t xml:space="preserve"> заборгованість</w:t>
            </w:r>
          </w:p>
        </w:tc>
        <w:tc>
          <w:tcPr>
            <w:tcW w:w="0" w:type="auto"/>
            <w:tcBorders>
              <w:top w:val="single" w:sz="4" w:space="0" w:color="auto"/>
              <w:left w:val="single" w:sz="4" w:space="0" w:color="auto"/>
              <w:bottom w:val="nil"/>
              <w:right w:val="single" w:sz="4" w:space="0" w:color="auto"/>
            </w:tcBorders>
            <w:textDirection w:val="btLr"/>
            <w:vAlign w:val="center"/>
            <w:hideMark/>
          </w:tcPr>
          <w:p w:rsidR="009E247D" w:rsidRDefault="009E247D">
            <w:pPr>
              <w:pStyle w:val="a3"/>
              <w:spacing w:line="240" w:lineRule="auto"/>
              <w:ind w:left="113" w:right="113" w:firstLine="709"/>
              <w:rPr>
                <w:b/>
                <w:sz w:val="22"/>
                <w:lang w:val="uk-UA" w:eastAsia="en-US"/>
              </w:rPr>
            </w:pPr>
            <w:r>
              <w:rPr>
                <w:b/>
                <w:sz w:val="22"/>
                <w:szCs w:val="22"/>
                <w:lang w:val="uk-UA" w:eastAsia="en-US"/>
              </w:rPr>
              <w:t>Запаси</w:t>
            </w:r>
          </w:p>
        </w:tc>
        <w:tc>
          <w:tcPr>
            <w:tcW w:w="0" w:type="auto"/>
            <w:tcBorders>
              <w:top w:val="single" w:sz="4" w:space="0" w:color="auto"/>
              <w:left w:val="single" w:sz="4" w:space="0" w:color="auto"/>
              <w:bottom w:val="nil"/>
              <w:right w:val="single" w:sz="4" w:space="0" w:color="auto"/>
            </w:tcBorders>
            <w:textDirection w:val="btLr"/>
            <w:vAlign w:val="center"/>
            <w:hideMark/>
          </w:tcPr>
          <w:p w:rsidR="009E247D" w:rsidRDefault="009E247D">
            <w:pPr>
              <w:pStyle w:val="a3"/>
              <w:spacing w:line="240" w:lineRule="auto"/>
              <w:ind w:left="113" w:right="113" w:firstLine="709"/>
              <w:rPr>
                <w:b/>
                <w:sz w:val="22"/>
                <w:lang w:val="uk-UA" w:eastAsia="en-US"/>
              </w:rPr>
            </w:pPr>
            <w:r>
              <w:rPr>
                <w:b/>
                <w:sz w:val="22"/>
                <w:szCs w:val="22"/>
                <w:lang w:val="uk-UA" w:eastAsia="en-US"/>
              </w:rPr>
              <w:t>Грошові кошти</w:t>
            </w:r>
          </w:p>
        </w:tc>
        <w:tc>
          <w:tcPr>
            <w:tcW w:w="0" w:type="auto"/>
            <w:tcBorders>
              <w:top w:val="single" w:sz="4" w:space="0" w:color="auto"/>
              <w:left w:val="single" w:sz="4" w:space="0" w:color="auto"/>
              <w:bottom w:val="nil"/>
              <w:right w:val="single" w:sz="4" w:space="0" w:color="auto"/>
            </w:tcBorders>
            <w:textDirection w:val="btLr"/>
            <w:vAlign w:val="center"/>
            <w:hideMark/>
          </w:tcPr>
          <w:p w:rsidR="009E247D" w:rsidRDefault="009E247D">
            <w:pPr>
              <w:pStyle w:val="a3"/>
              <w:spacing w:line="240" w:lineRule="auto"/>
              <w:ind w:left="113" w:right="113" w:firstLine="709"/>
              <w:rPr>
                <w:b/>
                <w:bCs/>
                <w:sz w:val="22"/>
                <w:lang w:val="uk-UA" w:eastAsia="en-US"/>
              </w:rPr>
            </w:pPr>
            <w:r>
              <w:rPr>
                <w:b/>
                <w:bCs/>
                <w:sz w:val="22"/>
                <w:szCs w:val="22"/>
                <w:lang w:val="uk-UA" w:eastAsia="en-US"/>
              </w:rPr>
              <w:t xml:space="preserve">Витрати </w:t>
            </w:r>
            <w:proofErr w:type="spellStart"/>
            <w:r>
              <w:rPr>
                <w:b/>
                <w:bCs/>
                <w:sz w:val="22"/>
                <w:szCs w:val="22"/>
                <w:lang w:val="uk-UA" w:eastAsia="en-US"/>
              </w:rPr>
              <w:t>майб</w:t>
            </w:r>
            <w:proofErr w:type="spellEnd"/>
            <w:r>
              <w:rPr>
                <w:b/>
                <w:bCs/>
                <w:sz w:val="22"/>
                <w:szCs w:val="22"/>
                <w:lang w:val="uk-UA" w:eastAsia="en-US"/>
              </w:rPr>
              <w:t>. періодів</w:t>
            </w:r>
          </w:p>
        </w:tc>
        <w:tc>
          <w:tcPr>
            <w:tcW w:w="0" w:type="auto"/>
            <w:tcBorders>
              <w:top w:val="single" w:sz="4" w:space="0" w:color="auto"/>
              <w:left w:val="single" w:sz="4" w:space="0" w:color="auto"/>
              <w:bottom w:val="nil"/>
              <w:right w:val="single" w:sz="4" w:space="0" w:color="auto"/>
            </w:tcBorders>
            <w:textDirection w:val="btLr"/>
            <w:vAlign w:val="center"/>
            <w:hideMark/>
          </w:tcPr>
          <w:p w:rsidR="009E247D" w:rsidRDefault="009E247D">
            <w:pPr>
              <w:pStyle w:val="a3"/>
              <w:spacing w:line="240" w:lineRule="auto"/>
              <w:ind w:left="113" w:right="113" w:firstLine="709"/>
              <w:rPr>
                <w:b/>
                <w:sz w:val="22"/>
                <w:lang w:val="uk-UA" w:eastAsia="en-US"/>
              </w:rPr>
            </w:pPr>
            <w:r>
              <w:rPr>
                <w:b/>
                <w:sz w:val="22"/>
                <w:szCs w:val="22"/>
                <w:lang w:val="uk-UA" w:eastAsia="en-US"/>
              </w:rPr>
              <w:t>Інші. об. активи</w:t>
            </w:r>
          </w:p>
        </w:tc>
        <w:tc>
          <w:tcPr>
            <w:tcW w:w="0" w:type="auto"/>
            <w:tcBorders>
              <w:top w:val="single" w:sz="4" w:space="0" w:color="auto"/>
              <w:left w:val="single" w:sz="4" w:space="0" w:color="auto"/>
              <w:bottom w:val="nil"/>
              <w:right w:val="single" w:sz="4" w:space="0" w:color="auto"/>
            </w:tcBorders>
            <w:textDirection w:val="btLr"/>
            <w:vAlign w:val="center"/>
            <w:hideMark/>
          </w:tcPr>
          <w:p w:rsidR="009E247D" w:rsidRDefault="009E247D">
            <w:pPr>
              <w:pStyle w:val="a3"/>
              <w:spacing w:line="240" w:lineRule="auto"/>
              <w:ind w:left="113" w:right="113" w:firstLine="709"/>
              <w:rPr>
                <w:b/>
                <w:sz w:val="22"/>
                <w:lang w:val="uk-UA" w:eastAsia="en-US"/>
              </w:rPr>
            </w:pPr>
            <w:r>
              <w:rPr>
                <w:b/>
                <w:sz w:val="22"/>
                <w:szCs w:val="22"/>
                <w:lang w:val="uk-UA" w:eastAsia="en-US"/>
              </w:rPr>
              <w:t>Виробничі витрати</w:t>
            </w:r>
          </w:p>
        </w:tc>
        <w:tc>
          <w:tcPr>
            <w:tcW w:w="0" w:type="auto"/>
            <w:vMerge/>
            <w:tcBorders>
              <w:top w:val="single" w:sz="4" w:space="0" w:color="auto"/>
              <w:left w:val="single" w:sz="4" w:space="0" w:color="auto"/>
              <w:bottom w:val="nil"/>
              <w:right w:val="single" w:sz="4" w:space="0" w:color="auto"/>
            </w:tcBorders>
            <w:vAlign w:val="center"/>
            <w:hideMark/>
          </w:tcPr>
          <w:p w:rsidR="009E247D" w:rsidRDefault="009E247D">
            <w:pPr>
              <w:rPr>
                <w:b/>
                <w:sz w:val="22"/>
                <w:lang w:val="uk-UA" w:eastAsia="en-US"/>
              </w:rPr>
            </w:pPr>
          </w:p>
        </w:tc>
      </w:tr>
      <w:tr w:rsidR="009E247D" w:rsidTr="009E247D">
        <w:trPr>
          <w:cantSplit/>
          <w:trHeight w:val="897"/>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Баланс на початок року</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pStyle w:val="a3"/>
              <w:spacing w:line="240" w:lineRule="auto"/>
              <w:ind w:left="113" w:right="113" w:firstLine="709"/>
              <w:rPr>
                <w:sz w:val="22"/>
                <w:lang w:val="uk-UA" w:eastAsia="en-US"/>
              </w:rPr>
            </w:pPr>
            <w:r>
              <w:rPr>
                <w:sz w:val="22"/>
                <w:szCs w:val="22"/>
                <w:lang w:val="uk-UA" w:eastAsia="en-US"/>
              </w:rPr>
              <w:t>6347,3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pStyle w:val="a3"/>
              <w:spacing w:line="240" w:lineRule="auto"/>
              <w:ind w:left="113" w:right="113" w:firstLine="709"/>
              <w:rPr>
                <w:sz w:val="22"/>
                <w:lang w:val="uk-UA" w:eastAsia="en-US"/>
              </w:rPr>
            </w:pPr>
            <w:r>
              <w:rPr>
                <w:sz w:val="22"/>
                <w:szCs w:val="22"/>
                <w:lang w:val="uk-UA" w:eastAsia="en-US"/>
              </w:rPr>
              <w:t>(5156,3)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pStyle w:val="a3"/>
              <w:spacing w:line="240" w:lineRule="auto"/>
              <w:ind w:left="113" w:right="113" w:firstLine="709"/>
              <w:rPr>
                <w:sz w:val="22"/>
                <w:lang w:val="uk-UA" w:eastAsia="en-US"/>
              </w:rPr>
            </w:pPr>
            <w:r>
              <w:rPr>
                <w:sz w:val="22"/>
                <w:szCs w:val="22"/>
                <w:lang w:val="uk-UA" w:eastAsia="en-US"/>
              </w:rPr>
              <w:t>49,6</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pStyle w:val="a3"/>
              <w:spacing w:line="240" w:lineRule="auto"/>
              <w:ind w:left="113" w:right="113" w:firstLine="709"/>
              <w:rPr>
                <w:sz w:val="22"/>
                <w:lang w:val="uk-UA" w:eastAsia="en-US"/>
              </w:rPr>
            </w:pPr>
            <w:r>
              <w:rPr>
                <w:sz w:val="22"/>
                <w:szCs w:val="22"/>
                <w:lang w:val="uk-UA" w:eastAsia="en-US"/>
              </w:rPr>
              <w:t>268,6</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pStyle w:val="a3"/>
              <w:spacing w:line="240" w:lineRule="auto"/>
              <w:ind w:left="113" w:right="113" w:firstLine="709"/>
              <w:rPr>
                <w:sz w:val="22"/>
                <w:lang w:val="uk-UA" w:eastAsia="en-US"/>
              </w:rPr>
            </w:pPr>
            <w:r>
              <w:rPr>
                <w:sz w:val="22"/>
                <w:szCs w:val="22"/>
                <w:lang w:val="uk-UA" w:eastAsia="en-US"/>
              </w:rPr>
              <w:t>14,1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pStyle w:val="a3"/>
              <w:spacing w:line="240" w:lineRule="auto"/>
              <w:ind w:left="113" w:right="113" w:firstLine="709"/>
              <w:rPr>
                <w:sz w:val="22"/>
                <w:lang w:val="uk-UA" w:eastAsia="en-US"/>
              </w:rPr>
            </w:pPr>
            <w:r>
              <w:rPr>
                <w:sz w:val="22"/>
                <w:szCs w:val="22"/>
                <w:lang w:val="uk-UA" w:eastAsia="en-US"/>
              </w:rPr>
              <w:t>1,3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pStyle w:val="a3"/>
              <w:spacing w:line="240" w:lineRule="auto"/>
              <w:ind w:left="113" w:right="113" w:firstLine="709"/>
              <w:rPr>
                <w:sz w:val="22"/>
                <w:lang w:val="uk-UA" w:eastAsia="en-US"/>
              </w:rPr>
            </w:pPr>
            <w:r>
              <w:rPr>
                <w:sz w:val="22"/>
                <w:szCs w:val="22"/>
                <w:lang w:val="uk-UA" w:eastAsia="en-US"/>
              </w:rPr>
              <w:t>4,0</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9E247D" w:rsidRDefault="009E247D">
            <w:pPr>
              <w:pStyle w:val="a3"/>
              <w:spacing w:line="240" w:lineRule="auto"/>
              <w:ind w:left="113" w:right="113"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pStyle w:val="a3"/>
              <w:spacing w:line="240" w:lineRule="auto"/>
              <w:ind w:left="113" w:right="113" w:firstLine="709"/>
              <w:rPr>
                <w:sz w:val="22"/>
                <w:lang w:val="uk-UA" w:eastAsia="en-US"/>
              </w:rPr>
            </w:pPr>
            <w:r>
              <w:rPr>
                <w:sz w:val="22"/>
                <w:szCs w:val="22"/>
                <w:lang w:val="uk-UA" w:eastAsia="en-US"/>
              </w:rPr>
              <w:t>1528,6</w:t>
            </w:r>
          </w:p>
        </w:tc>
      </w:tr>
      <w:tr w:rsidR="009E247D" w:rsidTr="009E247D">
        <w:trPr>
          <w:cantSplit/>
          <w:trHeight w:val="240"/>
        </w:trPr>
        <w:tc>
          <w:tcPr>
            <w:tcW w:w="0" w:type="auto"/>
            <w:tcBorders>
              <w:top w:val="nil"/>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1. Одержання кредиту</w:t>
            </w:r>
          </w:p>
        </w:tc>
        <w:tc>
          <w:tcPr>
            <w:tcW w:w="0" w:type="auto"/>
            <w:tcBorders>
              <w:top w:val="nil"/>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nil"/>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nil"/>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nil"/>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nil"/>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 xml:space="preserve"> 400</w:t>
            </w:r>
          </w:p>
        </w:tc>
        <w:tc>
          <w:tcPr>
            <w:tcW w:w="0" w:type="auto"/>
            <w:tcBorders>
              <w:top w:val="nil"/>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nil"/>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nil"/>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nil"/>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lastRenderedPageBreak/>
              <w:t>2. Придбання автобусів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400</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(400)</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3. Витрати на паливо и ремонт</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33,3</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4. Списання витрат на паливо і ремонт на фінансові результати</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(33,3)</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5. Оплата витрат на паливо і ремонт</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(33,3)</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 xml:space="preserve">6. Нарахована зарплата водіям з відрахуваннями </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83,4</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 xml:space="preserve">7. Списання витрат по </w:t>
            </w:r>
            <w:proofErr w:type="spellStart"/>
            <w:r>
              <w:rPr>
                <w:sz w:val="22"/>
                <w:szCs w:val="22"/>
                <w:lang w:val="uk-UA" w:eastAsia="en-US"/>
              </w:rPr>
              <w:t>зарабітній</w:t>
            </w:r>
            <w:proofErr w:type="spellEnd"/>
            <w:r>
              <w:rPr>
                <w:sz w:val="22"/>
                <w:szCs w:val="22"/>
                <w:lang w:val="uk-UA" w:eastAsia="en-US"/>
              </w:rPr>
              <w:t xml:space="preserve"> платі водіям</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(83,4)</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 xml:space="preserve">8. Виплата заробітної плати </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(60,0)</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 xml:space="preserve">9. Оплата податків на </w:t>
            </w:r>
            <w:proofErr w:type="spellStart"/>
            <w:r>
              <w:rPr>
                <w:sz w:val="22"/>
                <w:szCs w:val="22"/>
                <w:lang w:val="uk-UA" w:eastAsia="en-US"/>
              </w:rPr>
              <w:t>зарабітну</w:t>
            </w:r>
            <w:proofErr w:type="spellEnd"/>
            <w:r>
              <w:rPr>
                <w:sz w:val="22"/>
                <w:szCs w:val="22"/>
                <w:lang w:val="uk-UA" w:eastAsia="en-US"/>
              </w:rPr>
              <w:t xml:space="preserve"> плату</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(23,4)</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10. Знос автобусів</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11. Списання зносу на фінансовий результат</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(100)</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12. Прогнозні надходження від реалізації послуг</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459,6</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13. Повернення кредиту в 1-му році</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(133,3)</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14. Оплата процентів за кредит (23%)</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rPr>
                <w:sz w:val="22"/>
                <w:lang w:val="uk-UA" w:eastAsia="en-US"/>
              </w:rPr>
            </w:pPr>
            <w:r>
              <w:rPr>
                <w:sz w:val="22"/>
                <w:szCs w:val="22"/>
                <w:lang w:val="uk-UA" w:eastAsia="en-US"/>
              </w:rPr>
              <w:t>(92,0)</w:t>
            </w: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9E247D" w:rsidRDefault="009E247D">
            <w:pPr>
              <w:pStyle w:val="a3"/>
              <w:spacing w:line="240" w:lineRule="auto"/>
              <w:ind w:firstLine="709"/>
              <w:rPr>
                <w:sz w:val="22"/>
                <w:lang w:val="uk-UA" w:eastAsia="en-US"/>
              </w:rPr>
            </w:pPr>
          </w:p>
        </w:tc>
      </w:tr>
      <w:tr w:rsidR="009E247D" w:rsidTr="009E247D">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rsidR="009E247D" w:rsidRDefault="009E247D">
            <w:pPr>
              <w:pStyle w:val="a3"/>
              <w:spacing w:line="240" w:lineRule="auto"/>
              <w:ind w:firstLine="709"/>
              <w:jc w:val="left"/>
              <w:rPr>
                <w:sz w:val="22"/>
                <w:lang w:val="uk-UA" w:eastAsia="en-US"/>
              </w:rPr>
            </w:pPr>
            <w:r>
              <w:rPr>
                <w:sz w:val="22"/>
                <w:szCs w:val="22"/>
                <w:lang w:val="uk-UA" w:eastAsia="en-US"/>
              </w:rPr>
              <w:t>Прогнозний баланс</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spacing w:line="360" w:lineRule="auto"/>
              <w:ind w:left="113" w:right="113" w:firstLine="709"/>
              <w:rPr>
                <w:snapToGrid w:val="0"/>
                <w:color w:val="000000"/>
                <w:sz w:val="22"/>
                <w:lang w:val="uk-UA" w:eastAsia="en-US"/>
              </w:rPr>
            </w:pPr>
            <w:r>
              <w:rPr>
                <w:snapToGrid w:val="0"/>
                <w:color w:val="000000"/>
                <w:sz w:val="22"/>
                <w:szCs w:val="22"/>
                <w:lang w:val="uk-UA" w:eastAsia="en-US"/>
              </w:rPr>
              <w:t>6747,3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spacing w:line="360" w:lineRule="auto"/>
              <w:ind w:left="113" w:right="113" w:firstLine="709"/>
              <w:rPr>
                <w:snapToGrid w:val="0"/>
                <w:color w:val="000000"/>
                <w:sz w:val="22"/>
                <w:lang w:val="uk-UA" w:eastAsia="en-US"/>
              </w:rPr>
            </w:pPr>
            <w:r>
              <w:rPr>
                <w:snapToGrid w:val="0"/>
                <w:color w:val="000000"/>
                <w:sz w:val="22"/>
                <w:szCs w:val="22"/>
                <w:lang w:val="uk-UA" w:eastAsia="en-US"/>
              </w:rPr>
              <w:t>(5256,3)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spacing w:line="360" w:lineRule="auto"/>
              <w:ind w:left="113" w:right="113" w:firstLine="709"/>
              <w:rPr>
                <w:snapToGrid w:val="0"/>
                <w:color w:val="000000"/>
                <w:sz w:val="22"/>
                <w:lang w:val="uk-UA" w:eastAsia="en-US"/>
              </w:rPr>
            </w:pPr>
            <w:r>
              <w:rPr>
                <w:snapToGrid w:val="0"/>
                <w:color w:val="000000"/>
                <w:sz w:val="22"/>
                <w:szCs w:val="22"/>
                <w:lang w:val="uk-UA" w:eastAsia="en-US"/>
              </w:rPr>
              <w:t>49,6</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spacing w:line="360" w:lineRule="auto"/>
              <w:ind w:left="113" w:right="113" w:firstLine="709"/>
              <w:rPr>
                <w:snapToGrid w:val="0"/>
                <w:color w:val="000000"/>
                <w:sz w:val="22"/>
                <w:lang w:val="uk-UA" w:eastAsia="en-US"/>
              </w:rPr>
            </w:pPr>
            <w:r>
              <w:rPr>
                <w:snapToGrid w:val="0"/>
                <w:color w:val="000000"/>
                <w:sz w:val="22"/>
                <w:szCs w:val="22"/>
                <w:lang w:val="uk-UA" w:eastAsia="en-US"/>
              </w:rPr>
              <w:t>268,6</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spacing w:line="360" w:lineRule="auto"/>
              <w:ind w:left="113" w:right="113" w:firstLine="709"/>
              <w:rPr>
                <w:snapToGrid w:val="0"/>
                <w:color w:val="000000"/>
                <w:sz w:val="22"/>
                <w:lang w:val="uk-UA" w:eastAsia="en-US"/>
              </w:rPr>
            </w:pPr>
            <w:r>
              <w:rPr>
                <w:snapToGrid w:val="0"/>
                <w:color w:val="000000"/>
                <w:sz w:val="22"/>
                <w:szCs w:val="22"/>
                <w:lang w:val="uk-UA" w:eastAsia="en-US"/>
              </w:rPr>
              <w:t>131,7</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spacing w:line="360" w:lineRule="auto"/>
              <w:ind w:left="113" w:right="113" w:firstLine="709"/>
              <w:rPr>
                <w:snapToGrid w:val="0"/>
                <w:color w:val="000000"/>
                <w:sz w:val="22"/>
                <w:lang w:val="uk-UA" w:eastAsia="en-US"/>
              </w:rPr>
            </w:pPr>
            <w:r>
              <w:rPr>
                <w:snapToGrid w:val="0"/>
                <w:color w:val="000000"/>
                <w:sz w:val="22"/>
                <w:szCs w:val="22"/>
                <w:lang w:val="uk-UA" w:eastAsia="en-US"/>
              </w:rPr>
              <w:t>1,3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spacing w:line="360" w:lineRule="auto"/>
              <w:ind w:left="113" w:right="113" w:firstLine="709"/>
              <w:rPr>
                <w:snapToGrid w:val="0"/>
                <w:color w:val="000000"/>
                <w:sz w:val="22"/>
                <w:lang w:val="uk-UA" w:eastAsia="en-US"/>
              </w:rPr>
            </w:pPr>
            <w:r>
              <w:rPr>
                <w:snapToGrid w:val="0"/>
                <w:color w:val="000000"/>
                <w:sz w:val="22"/>
                <w:szCs w:val="22"/>
                <w:lang w:val="uk-UA" w:eastAsia="en-US"/>
              </w:rPr>
              <w:t>4,0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spacing w:line="360" w:lineRule="auto"/>
              <w:ind w:left="113" w:right="113" w:firstLine="709"/>
              <w:rPr>
                <w:snapToGrid w:val="0"/>
                <w:color w:val="000000"/>
                <w:sz w:val="22"/>
                <w:lang w:val="uk-UA" w:eastAsia="en-US"/>
              </w:rPr>
            </w:pPr>
            <w:r>
              <w:rPr>
                <w:snapToGrid w:val="0"/>
                <w:color w:val="000000"/>
                <w:sz w:val="22"/>
                <w:szCs w:val="22"/>
                <w:lang w:val="uk-UA" w:eastAsia="en-US"/>
              </w:rPr>
              <w:t>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9E247D" w:rsidRDefault="009E247D">
            <w:pPr>
              <w:spacing w:line="360" w:lineRule="auto"/>
              <w:ind w:left="113" w:right="113" w:firstLine="709"/>
              <w:rPr>
                <w:snapToGrid w:val="0"/>
                <w:color w:val="000000"/>
                <w:sz w:val="22"/>
                <w:lang w:val="uk-UA" w:eastAsia="en-US"/>
              </w:rPr>
            </w:pPr>
            <w:r>
              <w:rPr>
                <w:snapToGrid w:val="0"/>
                <w:color w:val="000000"/>
                <w:sz w:val="22"/>
                <w:szCs w:val="22"/>
                <w:lang w:val="uk-UA" w:eastAsia="en-US"/>
              </w:rPr>
              <w:t>1946,2</w:t>
            </w:r>
          </w:p>
        </w:tc>
      </w:tr>
    </w:tbl>
    <w:p w:rsidR="009E247D" w:rsidRDefault="009E247D" w:rsidP="009E247D">
      <w:pPr>
        <w:ind w:firstLine="540"/>
        <w:jc w:val="both"/>
        <w:rPr>
          <w:snapToGrid w:val="0"/>
          <w:sz w:val="28"/>
          <w:lang w:val="uk-UA"/>
        </w:rPr>
      </w:pPr>
    </w:p>
    <w:p w:rsidR="009E247D" w:rsidRDefault="009E247D" w:rsidP="009E247D">
      <w:pPr>
        <w:ind w:firstLine="540"/>
        <w:jc w:val="both"/>
        <w:rPr>
          <w:snapToGrid w:val="0"/>
          <w:sz w:val="28"/>
          <w:lang w:val="uk-UA"/>
        </w:rPr>
      </w:pPr>
      <w:r>
        <w:rPr>
          <w:snapToGrid w:val="0"/>
          <w:sz w:val="28"/>
          <w:szCs w:val="28"/>
          <w:lang w:val="uk-UA"/>
        </w:rPr>
        <w:t>В результаті виходить повний прогнозний баланс нового звітного періоду, по якому можна прорахувати показники ефективності. Для ВАТ "</w:t>
      </w:r>
      <w:proofErr w:type="spellStart"/>
      <w:r>
        <w:rPr>
          <w:snapToGrid w:val="0"/>
          <w:sz w:val="28"/>
          <w:szCs w:val="28"/>
          <w:lang w:val="uk-UA"/>
        </w:rPr>
        <w:t>Автотранс-Хортиця</w:t>
      </w:r>
      <w:proofErr w:type="spellEnd"/>
      <w:r>
        <w:rPr>
          <w:snapToGrid w:val="0"/>
          <w:sz w:val="28"/>
          <w:szCs w:val="28"/>
          <w:lang w:val="uk-UA"/>
        </w:rPr>
        <w:t>"</w:t>
      </w:r>
      <w:r>
        <w:rPr>
          <w:snapToGrid w:val="0"/>
          <w:sz w:val="28"/>
          <w:lang w:val="uk-UA"/>
        </w:rPr>
        <w:t xml:space="preserve"> прогнозний прибуток в результаті проведення заходів складе 153,1 </w:t>
      </w:r>
      <w:proofErr w:type="spellStart"/>
      <w:r>
        <w:rPr>
          <w:snapToGrid w:val="0"/>
          <w:sz w:val="28"/>
          <w:lang w:val="uk-UA"/>
        </w:rPr>
        <w:t>тис.грн</w:t>
      </w:r>
      <w:proofErr w:type="spellEnd"/>
      <w:r>
        <w:rPr>
          <w:snapToGrid w:val="0"/>
          <w:sz w:val="28"/>
          <w:lang w:val="uk-UA"/>
        </w:rPr>
        <w:t xml:space="preserve">. (в порівнянні із збитком минулих літ), рентабельність активів зросте на 10%, платоспроможність перевищуватиме 100% вивільнятиметься власний оборотний капітал на суму 542,4 </w:t>
      </w:r>
      <w:proofErr w:type="spellStart"/>
      <w:r>
        <w:rPr>
          <w:snapToGrid w:val="0"/>
          <w:sz w:val="28"/>
          <w:lang w:val="uk-UA"/>
        </w:rPr>
        <w:t>тис.грн</w:t>
      </w:r>
      <w:proofErr w:type="spellEnd"/>
      <w:r>
        <w:rPr>
          <w:snapToGrid w:val="0"/>
          <w:sz w:val="28"/>
          <w:lang w:val="uk-UA"/>
        </w:rPr>
        <w:t>. У підприємства зросте можливість ведення подальшої безперервної діяльності і підвищення її ефективності.</w:t>
      </w:r>
    </w:p>
    <w:p w:rsidR="009E247D" w:rsidRDefault="009E247D" w:rsidP="009E247D">
      <w:pPr>
        <w:pStyle w:val="a5"/>
        <w:spacing w:line="240" w:lineRule="auto"/>
        <w:rPr>
          <w:lang w:val="uk-UA"/>
        </w:rPr>
      </w:pPr>
      <w:r>
        <w:rPr>
          <w:snapToGrid w:val="0"/>
          <w:lang w:val="uk-UA"/>
        </w:rPr>
        <w:t>Розрахунок комплексу пошукових прогнозів і результативних прогнозних балансів дозволяє більш обґрунтовано і точно планувати ділову активність підприємства, рентабельність.</w:t>
      </w:r>
    </w:p>
    <w:p w:rsidR="00AF10BA" w:rsidRPr="009E247D" w:rsidRDefault="00AF10BA" w:rsidP="009E247D">
      <w:pPr>
        <w:rPr>
          <w:lang w:val="uk-UA"/>
        </w:rPr>
      </w:pPr>
    </w:p>
    <w:sectPr w:rsidR="00AF10BA" w:rsidRPr="009E247D" w:rsidSect="00AF1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defaultTabStop w:val="708"/>
  <w:characterSpacingControl w:val="doNotCompress"/>
  <w:compat/>
  <w:rsids>
    <w:rsidRoot w:val="009E247D"/>
    <w:rsid w:val="009E247D"/>
    <w:rsid w:val="00AF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7D"/>
    <w:pPr>
      <w:spacing w:line="240" w:lineRule="auto"/>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E247D"/>
    <w:pPr>
      <w:tabs>
        <w:tab w:val="left" w:pos="795"/>
      </w:tabs>
      <w:spacing w:line="360" w:lineRule="auto"/>
      <w:jc w:val="both"/>
    </w:pPr>
    <w:rPr>
      <w:sz w:val="28"/>
    </w:rPr>
  </w:style>
  <w:style w:type="character" w:customStyle="1" w:styleId="a4">
    <w:name w:val="Основной текст Знак"/>
    <w:basedOn w:val="a0"/>
    <w:link w:val="a3"/>
    <w:rsid w:val="009E247D"/>
    <w:rPr>
      <w:rFonts w:eastAsia="Times New Roman" w:cs="Times New Roman"/>
      <w:szCs w:val="24"/>
      <w:lang w:eastAsia="ru-RU"/>
    </w:rPr>
  </w:style>
  <w:style w:type="paragraph" w:styleId="a5">
    <w:name w:val="Body Text Indent"/>
    <w:basedOn w:val="a"/>
    <w:link w:val="a6"/>
    <w:semiHidden/>
    <w:unhideWhenUsed/>
    <w:rsid w:val="009E247D"/>
    <w:pPr>
      <w:spacing w:line="360" w:lineRule="auto"/>
      <w:ind w:firstLine="540"/>
      <w:jc w:val="both"/>
    </w:pPr>
    <w:rPr>
      <w:sz w:val="28"/>
    </w:rPr>
  </w:style>
  <w:style w:type="character" w:customStyle="1" w:styleId="a6">
    <w:name w:val="Основной текст с отступом Знак"/>
    <w:basedOn w:val="a0"/>
    <w:link w:val="a5"/>
    <w:semiHidden/>
    <w:rsid w:val="009E247D"/>
    <w:rPr>
      <w:rFonts w:eastAsia="Times New Roman" w:cs="Times New Roman"/>
      <w:szCs w:val="24"/>
      <w:lang w:eastAsia="ru-RU"/>
    </w:rPr>
  </w:style>
  <w:style w:type="paragraph" w:styleId="3">
    <w:name w:val="Body Text 3"/>
    <w:basedOn w:val="a"/>
    <w:link w:val="30"/>
    <w:semiHidden/>
    <w:unhideWhenUsed/>
    <w:rsid w:val="009E247D"/>
    <w:pPr>
      <w:spacing w:line="360" w:lineRule="auto"/>
      <w:jc w:val="center"/>
    </w:pPr>
    <w:rPr>
      <w:sz w:val="28"/>
    </w:rPr>
  </w:style>
  <w:style w:type="character" w:customStyle="1" w:styleId="30">
    <w:name w:val="Основной текст 3 Знак"/>
    <w:basedOn w:val="a0"/>
    <w:link w:val="3"/>
    <w:semiHidden/>
    <w:rsid w:val="009E247D"/>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6325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6932</Characters>
  <Application>Microsoft Office Word</Application>
  <DocSecurity>0</DocSecurity>
  <Lines>57</Lines>
  <Paragraphs>16</Paragraphs>
  <ScaleCrop>false</ScaleCrop>
  <Company>Workgroup</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2020-10-27T09:26:00Z</dcterms:created>
  <dcterms:modified xsi:type="dcterms:W3CDTF">2020-10-27T09:26:00Z</dcterms:modified>
</cp:coreProperties>
</file>