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200F" w:rsidRPr="00483764" w:rsidRDefault="0029200F" w:rsidP="0029200F">
      <w:pPr>
        <w:jc w:val="center"/>
        <w:rPr>
          <w:rFonts w:cs="Times New Roman"/>
          <w:b/>
          <w:bCs/>
          <w:sz w:val="32"/>
          <w:szCs w:val="32"/>
          <w:lang w:val="uk-UA"/>
        </w:rPr>
      </w:pPr>
      <w:r w:rsidRPr="00483764">
        <w:rPr>
          <w:rFonts w:cs="Times New Roman"/>
          <w:b/>
          <w:bCs/>
          <w:sz w:val="32"/>
          <w:szCs w:val="32"/>
          <w:lang w:val="uk-UA"/>
        </w:rPr>
        <w:t xml:space="preserve">Тема </w:t>
      </w:r>
      <w:r w:rsidR="00483764" w:rsidRPr="00483764">
        <w:rPr>
          <w:rFonts w:cs="Times New Roman"/>
          <w:b/>
          <w:bCs/>
          <w:sz w:val="32"/>
          <w:szCs w:val="32"/>
          <w:lang w:val="uk-UA"/>
        </w:rPr>
        <w:t>5</w:t>
      </w:r>
      <w:r w:rsidRPr="00483764">
        <w:rPr>
          <w:rFonts w:cs="Times New Roman"/>
          <w:b/>
          <w:bCs/>
          <w:sz w:val="32"/>
          <w:szCs w:val="32"/>
          <w:lang w:val="uk-UA"/>
        </w:rPr>
        <w:t>. Аудит податку на доходи фізичних осіб</w:t>
      </w:r>
    </w:p>
    <w:p w:rsidR="0029200F" w:rsidRDefault="0029200F" w:rsidP="0029200F">
      <w:pPr>
        <w:jc w:val="center"/>
        <w:rPr>
          <w:rFonts w:cs="Times New Roman"/>
          <w:szCs w:val="28"/>
          <w:lang w:val="uk-UA"/>
        </w:rPr>
      </w:pPr>
      <w:r>
        <w:rPr>
          <w:rFonts w:cs="Times New Roman"/>
          <w:szCs w:val="28"/>
          <w:lang w:val="uk-UA"/>
        </w:rPr>
        <w:t>План</w:t>
      </w:r>
    </w:p>
    <w:p w:rsidR="0029200F" w:rsidRDefault="00483764" w:rsidP="0029200F">
      <w:pPr>
        <w:jc w:val="both"/>
        <w:rPr>
          <w:rFonts w:cs="Times New Roman"/>
          <w:szCs w:val="28"/>
          <w:lang w:val="uk-UA"/>
        </w:rPr>
      </w:pPr>
      <w:r>
        <w:rPr>
          <w:rFonts w:cs="Times New Roman"/>
          <w:szCs w:val="28"/>
          <w:lang w:val="uk-UA"/>
        </w:rPr>
        <w:t>5</w:t>
      </w:r>
      <w:r w:rsidR="0029200F">
        <w:rPr>
          <w:rFonts w:cs="Times New Roman"/>
          <w:szCs w:val="28"/>
          <w:lang w:val="uk-UA"/>
        </w:rPr>
        <w:t>.1 Процедури аудиторської перевірки податку на доходи фізичних осіб</w:t>
      </w:r>
    </w:p>
    <w:p w:rsidR="0029200F" w:rsidRPr="0029200F" w:rsidRDefault="00483764" w:rsidP="0029200F">
      <w:pPr>
        <w:jc w:val="both"/>
        <w:rPr>
          <w:lang w:val="uk-UA"/>
        </w:rPr>
      </w:pPr>
      <w:r>
        <w:rPr>
          <w:lang w:val="uk-UA"/>
        </w:rPr>
        <w:t>5</w:t>
      </w:r>
      <w:r w:rsidR="0029200F">
        <w:rPr>
          <w:lang w:val="uk-UA"/>
        </w:rPr>
        <w:t xml:space="preserve">.2 </w:t>
      </w:r>
      <w:r w:rsidR="0029200F" w:rsidRPr="0029200F">
        <w:rPr>
          <w:lang w:val="uk-UA"/>
        </w:rPr>
        <w:t>Специфічні аспекти аудиту податку на доходи фізичних осіб та документування результатів роботи аудитора</w:t>
      </w:r>
    </w:p>
    <w:p w:rsidR="0029200F" w:rsidRDefault="0029200F" w:rsidP="001B62BF">
      <w:pPr>
        <w:jc w:val="both"/>
        <w:rPr>
          <w:rFonts w:cs="Times New Roman"/>
          <w:szCs w:val="28"/>
          <w:lang w:val="uk-UA"/>
        </w:rPr>
      </w:pPr>
    </w:p>
    <w:p w:rsidR="0029200F" w:rsidRPr="0029200F" w:rsidRDefault="00483764" w:rsidP="001B62BF">
      <w:pPr>
        <w:jc w:val="both"/>
        <w:rPr>
          <w:rFonts w:cs="Times New Roman"/>
          <w:b/>
          <w:szCs w:val="28"/>
          <w:lang w:val="uk-UA"/>
        </w:rPr>
      </w:pPr>
      <w:r>
        <w:rPr>
          <w:rFonts w:cs="Times New Roman"/>
          <w:b/>
          <w:szCs w:val="28"/>
          <w:lang w:val="uk-UA"/>
        </w:rPr>
        <w:t>5</w:t>
      </w:r>
      <w:r w:rsidR="0029200F" w:rsidRPr="0029200F">
        <w:rPr>
          <w:rFonts w:cs="Times New Roman"/>
          <w:b/>
          <w:szCs w:val="28"/>
          <w:lang w:val="uk-UA"/>
        </w:rPr>
        <w:t>.1 Процедури аудиторської перевірки податку на доходи фізичних осіб</w:t>
      </w:r>
    </w:p>
    <w:p w:rsidR="001B62BF" w:rsidRPr="001B62BF" w:rsidRDefault="001B62BF" w:rsidP="001B62BF">
      <w:pPr>
        <w:jc w:val="both"/>
        <w:rPr>
          <w:rFonts w:cs="Times New Roman"/>
          <w:szCs w:val="28"/>
          <w:lang w:val="uk-UA"/>
        </w:rPr>
      </w:pPr>
      <w:r w:rsidRPr="001B62BF">
        <w:rPr>
          <w:rFonts w:cs="Times New Roman"/>
          <w:szCs w:val="28"/>
          <w:lang w:val="uk-UA"/>
        </w:rPr>
        <w:t>доцільно включити такі напрями аудиту: перевірка системи внутрішнього контролю; контроль</w:t>
      </w:r>
      <w:r w:rsidR="0029200F">
        <w:rPr>
          <w:rFonts w:cs="Times New Roman"/>
          <w:szCs w:val="28"/>
          <w:lang w:val="uk-UA"/>
        </w:rPr>
        <w:t xml:space="preserve"> </w:t>
      </w:r>
      <w:r w:rsidRPr="001B62BF">
        <w:rPr>
          <w:rFonts w:cs="Times New Roman"/>
          <w:szCs w:val="28"/>
          <w:lang w:val="uk-UA"/>
        </w:rPr>
        <w:t>нарахування доходу та його оподаткування; перевірка звіту про використання коштів, виданих на відрядження або під звіт (колишній</w:t>
      </w:r>
      <w:r w:rsidR="0029200F">
        <w:rPr>
          <w:rFonts w:cs="Times New Roman"/>
          <w:szCs w:val="28"/>
          <w:lang w:val="uk-UA"/>
        </w:rPr>
        <w:t xml:space="preserve"> </w:t>
      </w:r>
      <w:r w:rsidRPr="001B62BF">
        <w:rPr>
          <w:rFonts w:cs="Times New Roman"/>
          <w:szCs w:val="28"/>
          <w:lang w:val="uk-UA"/>
        </w:rPr>
        <w:t>авансовий звіт); контроль інших доходів фізичних осіб; оцінка тверджень (показників) форми № 1ДФ.</w:t>
      </w:r>
    </w:p>
    <w:p w:rsidR="001B62BF" w:rsidRPr="001B62BF" w:rsidRDefault="001B62BF" w:rsidP="001B62BF">
      <w:pPr>
        <w:jc w:val="both"/>
        <w:rPr>
          <w:rFonts w:cs="Times New Roman"/>
          <w:szCs w:val="28"/>
          <w:lang w:val="uk-UA"/>
        </w:rPr>
      </w:pPr>
      <w:r w:rsidRPr="001B62BF">
        <w:rPr>
          <w:rFonts w:cs="Times New Roman"/>
          <w:szCs w:val="28"/>
          <w:lang w:val="uk-UA"/>
        </w:rPr>
        <w:t>Відповідно до обраної стратегії перевірки здійснюється планування виконання конкретних аудиторських процедур для кожного</w:t>
      </w:r>
      <w:r w:rsidR="0029200F">
        <w:rPr>
          <w:rFonts w:cs="Times New Roman"/>
          <w:szCs w:val="28"/>
          <w:lang w:val="uk-UA"/>
        </w:rPr>
        <w:t xml:space="preserve"> </w:t>
      </w:r>
      <w:r w:rsidRPr="001B62BF">
        <w:rPr>
          <w:rFonts w:cs="Times New Roman"/>
          <w:szCs w:val="28"/>
          <w:lang w:val="uk-UA"/>
        </w:rPr>
        <w:t>аудитора з аудиторської бригади (або для аудитора, який одноосібно</w:t>
      </w:r>
      <w:r w:rsidR="0029200F">
        <w:rPr>
          <w:rFonts w:cs="Times New Roman"/>
          <w:szCs w:val="28"/>
          <w:lang w:val="uk-UA"/>
        </w:rPr>
        <w:t xml:space="preserve"> </w:t>
      </w:r>
      <w:r w:rsidRPr="001B62BF">
        <w:rPr>
          <w:rFonts w:cs="Times New Roman"/>
          <w:szCs w:val="28"/>
          <w:lang w:val="uk-UA"/>
        </w:rPr>
        <w:t>задіяний у перевірці форми № 1ДФ).</w:t>
      </w:r>
    </w:p>
    <w:p w:rsidR="001B62BF" w:rsidRPr="001B62BF" w:rsidRDefault="001B62BF" w:rsidP="001B62BF">
      <w:pPr>
        <w:jc w:val="both"/>
        <w:rPr>
          <w:rFonts w:cs="Times New Roman"/>
          <w:szCs w:val="28"/>
          <w:lang w:val="uk-UA"/>
        </w:rPr>
      </w:pPr>
      <w:r w:rsidRPr="001B62BF">
        <w:rPr>
          <w:rFonts w:cs="Times New Roman"/>
          <w:szCs w:val="28"/>
          <w:lang w:val="uk-UA"/>
        </w:rPr>
        <w:t>На підготовчому етапі аудитор вивчає нормативно-довідкову інформацію щодо ідентифікації доходів фізичних осіб, правил їх визнання, оподаткування, пільг, розрахунків тощо.</w:t>
      </w:r>
    </w:p>
    <w:p w:rsidR="001B62BF" w:rsidRPr="001B62BF" w:rsidRDefault="001B62BF" w:rsidP="001B62BF">
      <w:pPr>
        <w:jc w:val="both"/>
        <w:rPr>
          <w:rFonts w:cs="Times New Roman"/>
          <w:szCs w:val="28"/>
          <w:lang w:val="uk-UA"/>
        </w:rPr>
      </w:pPr>
      <w:r w:rsidRPr="001B62BF">
        <w:rPr>
          <w:rFonts w:cs="Times New Roman"/>
          <w:szCs w:val="28"/>
          <w:lang w:val="uk-UA"/>
        </w:rPr>
        <w:t>У ході ознайомлення з бізнесом об’єкта перевірки – податкового</w:t>
      </w:r>
      <w:r w:rsidR="0029200F">
        <w:rPr>
          <w:rFonts w:cs="Times New Roman"/>
          <w:szCs w:val="28"/>
          <w:lang w:val="uk-UA"/>
        </w:rPr>
        <w:t xml:space="preserve"> </w:t>
      </w:r>
      <w:r w:rsidRPr="001B62BF">
        <w:rPr>
          <w:rFonts w:cs="Times New Roman"/>
          <w:szCs w:val="28"/>
          <w:lang w:val="uk-UA"/>
        </w:rPr>
        <w:t>агента, системою бухгалтерського обліку та внутрішнього контролю</w:t>
      </w:r>
      <w:r w:rsidR="0029200F">
        <w:rPr>
          <w:rFonts w:cs="Times New Roman"/>
          <w:szCs w:val="28"/>
          <w:lang w:val="uk-UA"/>
        </w:rPr>
        <w:t xml:space="preserve"> </w:t>
      </w:r>
      <w:r w:rsidRPr="001B62BF">
        <w:rPr>
          <w:rFonts w:cs="Times New Roman"/>
          <w:szCs w:val="28"/>
          <w:lang w:val="uk-UA"/>
        </w:rPr>
        <w:t>аудитору необхідно визначитися з вірогідністю ризиків суттєвого</w:t>
      </w:r>
      <w:r w:rsidR="0029200F">
        <w:rPr>
          <w:rFonts w:cs="Times New Roman"/>
          <w:szCs w:val="28"/>
          <w:lang w:val="uk-UA"/>
        </w:rPr>
        <w:t xml:space="preserve"> </w:t>
      </w:r>
      <w:r w:rsidRPr="001B62BF">
        <w:rPr>
          <w:rFonts w:cs="Times New Roman"/>
          <w:szCs w:val="28"/>
          <w:lang w:val="uk-UA"/>
        </w:rPr>
        <w:t>викривлення даних бухгалтерського обліку та показників форми</w:t>
      </w:r>
      <w:r w:rsidR="0029200F">
        <w:rPr>
          <w:rFonts w:cs="Times New Roman"/>
          <w:szCs w:val="28"/>
          <w:lang w:val="uk-UA"/>
        </w:rPr>
        <w:t xml:space="preserve"> </w:t>
      </w:r>
      <w:r w:rsidRPr="001B62BF">
        <w:rPr>
          <w:rFonts w:cs="Times New Roman"/>
          <w:szCs w:val="28"/>
          <w:lang w:val="uk-UA"/>
        </w:rPr>
        <w:t>№ 1ДФ. Для отримання достатнього рівня впевненості щодо прийнятності аудиторських доказів та процедур у контексті завдання з</w:t>
      </w:r>
      <w:r w:rsidR="0029200F">
        <w:rPr>
          <w:rFonts w:cs="Times New Roman"/>
          <w:szCs w:val="28"/>
          <w:lang w:val="uk-UA"/>
        </w:rPr>
        <w:t xml:space="preserve"> </w:t>
      </w:r>
      <w:r w:rsidRPr="001B62BF">
        <w:rPr>
          <w:rFonts w:cs="Times New Roman"/>
          <w:szCs w:val="28"/>
          <w:lang w:val="uk-UA"/>
        </w:rPr>
        <w:t>перевірки форми № 1ДФ слід зважати на наявність певних ризиків</w:t>
      </w:r>
      <w:r w:rsidR="0029200F">
        <w:rPr>
          <w:rFonts w:cs="Times New Roman"/>
          <w:szCs w:val="28"/>
          <w:lang w:val="uk-UA"/>
        </w:rPr>
        <w:t xml:space="preserve"> </w:t>
      </w:r>
      <w:r w:rsidRPr="001B62BF">
        <w:rPr>
          <w:rFonts w:cs="Times New Roman"/>
          <w:szCs w:val="28"/>
          <w:lang w:val="uk-UA"/>
        </w:rPr>
        <w:t>щодо достовірності та повноти отриманих доказів. Найвищою є вірогідність таких ризиків:</w:t>
      </w:r>
    </w:p>
    <w:p w:rsidR="001B62BF" w:rsidRPr="001B62BF" w:rsidRDefault="001B62BF" w:rsidP="001B62BF">
      <w:pPr>
        <w:jc w:val="both"/>
        <w:rPr>
          <w:rFonts w:cs="Times New Roman"/>
          <w:szCs w:val="28"/>
          <w:lang w:val="uk-UA"/>
        </w:rPr>
      </w:pPr>
      <w:r w:rsidRPr="001B62BF">
        <w:rPr>
          <w:rFonts w:cs="Times New Roman"/>
          <w:szCs w:val="28"/>
          <w:lang w:val="uk-UA"/>
        </w:rPr>
        <w:lastRenderedPageBreak/>
        <w:t>– нелегітимність документів, що посвідчують права працівника</w:t>
      </w:r>
      <w:r w:rsidR="0029200F">
        <w:rPr>
          <w:rFonts w:cs="Times New Roman"/>
          <w:szCs w:val="28"/>
          <w:lang w:val="uk-UA"/>
        </w:rPr>
        <w:t xml:space="preserve"> </w:t>
      </w:r>
      <w:r w:rsidRPr="001B62BF">
        <w:rPr>
          <w:rFonts w:cs="Times New Roman"/>
          <w:szCs w:val="28"/>
          <w:lang w:val="uk-UA"/>
        </w:rPr>
        <w:t>на отримання податкової соціальної пільги;</w:t>
      </w:r>
    </w:p>
    <w:p w:rsidR="001B62BF" w:rsidRPr="001B62BF" w:rsidRDefault="001B62BF" w:rsidP="001B62BF">
      <w:pPr>
        <w:jc w:val="both"/>
        <w:rPr>
          <w:rFonts w:cs="Times New Roman"/>
          <w:szCs w:val="28"/>
          <w:lang w:val="uk-UA"/>
        </w:rPr>
      </w:pPr>
      <w:r w:rsidRPr="001B62BF">
        <w:rPr>
          <w:rFonts w:cs="Times New Roman"/>
          <w:szCs w:val="28"/>
          <w:lang w:val="uk-UA"/>
        </w:rPr>
        <w:t>– неправильне застосування бухгалтером пільги на підставі наданих працівником документів;</w:t>
      </w:r>
    </w:p>
    <w:p w:rsidR="001B62BF" w:rsidRPr="001B62BF" w:rsidRDefault="001B62BF" w:rsidP="001B62BF">
      <w:pPr>
        <w:jc w:val="both"/>
        <w:rPr>
          <w:rFonts w:cs="Times New Roman"/>
          <w:szCs w:val="28"/>
          <w:lang w:val="uk-UA"/>
        </w:rPr>
      </w:pPr>
      <w:r w:rsidRPr="001B62BF">
        <w:rPr>
          <w:rFonts w:cs="Times New Roman"/>
          <w:szCs w:val="28"/>
          <w:lang w:val="uk-UA"/>
        </w:rPr>
        <w:t>– механічні помилки програмних засобів автоматизації бухобліку при розрахунках єдиного соціального внеску.</w:t>
      </w:r>
    </w:p>
    <w:p w:rsidR="001B62BF" w:rsidRPr="001B62BF" w:rsidRDefault="001B62BF" w:rsidP="001B62BF">
      <w:pPr>
        <w:jc w:val="both"/>
        <w:rPr>
          <w:rFonts w:cs="Times New Roman"/>
          <w:szCs w:val="28"/>
          <w:lang w:val="uk-UA"/>
        </w:rPr>
      </w:pPr>
      <w:r w:rsidRPr="001B62BF">
        <w:rPr>
          <w:rFonts w:cs="Times New Roman"/>
          <w:szCs w:val="28"/>
          <w:lang w:val="uk-UA"/>
        </w:rPr>
        <w:t>Окрім цього, слід визначитися з розміром суттєвості потенційних невідповідностей (помилками або шахрайством), на які очікує</w:t>
      </w:r>
      <w:r w:rsidR="0029200F">
        <w:rPr>
          <w:rFonts w:cs="Times New Roman"/>
          <w:szCs w:val="28"/>
          <w:lang w:val="uk-UA"/>
        </w:rPr>
        <w:t xml:space="preserve"> </w:t>
      </w:r>
      <w:r w:rsidRPr="001B62BF">
        <w:rPr>
          <w:rFonts w:cs="Times New Roman"/>
          <w:szCs w:val="28"/>
          <w:lang w:val="uk-UA"/>
        </w:rPr>
        <w:t>аудитор. Після цього аудитор повинен скласти план перевірки, який</w:t>
      </w:r>
      <w:r w:rsidR="0029200F">
        <w:rPr>
          <w:rFonts w:cs="Times New Roman"/>
          <w:szCs w:val="28"/>
          <w:lang w:val="uk-UA"/>
        </w:rPr>
        <w:t xml:space="preserve"> </w:t>
      </w:r>
      <w:r w:rsidRPr="001B62BF">
        <w:rPr>
          <w:rFonts w:cs="Times New Roman"/>
          <w:szCs w:val="28"/>
          <w:lang w:val="uk-UA"/>
        </w:rPr>
        <w:t>може зазнавати змін у ході роботи залежно від виявлених невідповідностей, їх суттєвості, зменшення або збільшення ризику викривлень, визначеного часу для перевірки та інших важливих обставин.</w:t>
      </w:r>
    </w:p>
    <w:p w:rsidR="001B62BF" w:rsidRPr="001B62BF" w:rsidRDefault="001B62BF" w:rsidP="001B62BF">
      <w:pPr>
        <w:jc w:val="both"/>
        <w:rPr>
          <w:rFonts w:cs="Times New Roman"/>
          <w:szCs w:val="28"/>
          <w:lang w:val="uk-UA"/>
        </w:rPr>
      </w:pPr>
      <w:r w:rsidRPr="001B62BF">
        <w:rPr>
          <w:rFonts w:cs="Times New Roman"/>
          <w:szCs w:val="28"/>
          <w:lang w:val="uk-UA"/>
        </w:rPr>
        <w:t>Можна рекомендувати таку загальну послідовність виконання</w:t>
      </w:r>
      <w:r w:rsidR="0029200F">
        <w:rPr>
          <w:rFonts w:cs="Times New Roman"/>
          <w:szCs w:val="28"/>
          <w:lang w:val="uk-UA"/>
        </w:rPr>
        <w:t xml:space="preserve"> </w:t>
      </w:r>
      <w:r w:rsidRPr="001B62BF">
        <w:rPr>
          <w:rFonts w:cs="Times New Roman"/>
          <w:szCs w:val="28"/>
          <w:lang w:val="uk-UA"/>
        </w:rPr>
        <w:t>аудиторських процедур:</w:t>
      </w:r>
    </w:p>
    <w:p w:rsidR="001B62BF" w:rsidRPr="001B62BF" w:rsidRDefault="001B62BF" w:rsidP="001B62BF">
      <w:pPr>
        <w:jc w:val="both"/>
        <w:rPr>
          <w:rFonts w:cs="Times New Roman"/>
          <w:szCs w:val="28"/>
          <w:lang w:val="uk-UA"/>
        </w:rPr>
      </w:pPr>
      <w:r w:rsidRPr="001B62BF">
        <w:rPr>
          <w:rFonts w:cs="Times New Roman"/>
          <w:szCs w:val="28"/>
          <w:lang w:val="uk-UA"/>
        </w:rPr>
        <w:t>1. Визначення джерел та носіїв даних.</w:t>
      </w:r>
    </w:p>
    <w:p w:rsidR="001B62BF" w:rsidRPr="001B62BF" w:rsidRDefault="001B62BF" w:rsidP="001B62BF">
      <w:pPr>
        <w:jc w:val="both"/>
        <w:rPr>
          <w:rFonts w:cs="Times New Roman"/>
          <w:szCs w:val="28"/>
          <w:lang w:val="uk-UA"/>
        </w:rPr>
      </w:pPr>
      <w:r w:rsidRPr="001B62BF">
        <w:rPr>
          <w:rFonts w:cs="Times New Roman"/>
          <w:szCs w:val="28"/>
          <w:lang w:val="uk-UA"/>
        </w:rPr>
        <w:t>2. Відбір документів для тестування.</w:t>
      </w:r>
    </w:p>
    <w:p w:rsidR="001B62BF" w:rsidRPr="001B62BF" w:rsidRDefault="001B62BF" w:rsidP="001B62BF">
      <w:pPr>
        <w:jc w:val="both"/>
        <w:rPr>
          <w:rFonts w:cs="Times New Roman"/>
          <w:szCs w:val="28"/>
          <w:lang w:val="uk-UA"/>
        </w:rPr>
      </w:pPr>
      <w:r w:rsidRPr="001B62BF">
        <w:rPr>
          <w:rFonts w:cs="Times New Roman"/>
          <w:szCs w:val="28"/>
          <w:lang w:val="uk-UA"/>
        </w:rPr>
        <w:t>3. Тестування документів на їх доказову та юридичну силу.</w:t>
      </w:r>
    </w:p>
    <w:p w:rsidR="001B62BF" w:rsidRPr="001B62BF" w:rsidRDefault="001B62BF" w:rsidP="001B62BF">
      <w:pPr>
        <w:jc w:val="both"/>
        <w:rPr>
          <w:rFonts w:cs="Times New Roman"/>
          <w:szCs w:val="28"/>
          <w:lang w:val="uk-UA"/>
        </w:rPr>
      </w:pPr>
      <w:r w:rsidRPr="001B62BF">
        <w:rPr>
          <w:rFonts w:cs="Times New Roman"/>
          <w:szCs w:val="28"/>
          <w:lang w:val="uk-UA"/>
        </w:rPr>
        <w:t>4. Порівняння даних документів з даними документів загальноправового та адміністративного характеру.</w:t>
      </w:r>
    </w:p>
    <w:p w:rsidR="001B62BF" w:rsidRPr="001B62BF" w:rsidRDefault="001B62BF" w:rsidP="001B62BF">
      <w:pPr>
        <w:jc w:val="both"/>
        <w:rPr>
          <w:rFonts w:cs="Times New Roman"/>
          <w:szCs w:val="28"/>
          <w:lang w:val="uk-UA"/>
        </w:rPr>
      </w:pPr>
      <w:r w:rsidRPr="001B62BF">
        <w:rPr>
          <w:rFonts w:cs="Times New Roman"/>
          <w:szCs w:val="28"/>
          <w:lang w:val="uk-UA"/>
        </w:rPr>
        <w:t>5. Порівняння даних регістрів бухгалтерського обліку з даними</w:t>
      </w:r>
      <w:r w:rsidR="0029200F">
        <w:rPr>
          <w:rFonts w:cs="Times New Roman"/>
          <w:szCs w:val="28"/>
          <w:lang w:val="uk-UA"/>
        </w:rPr>
        <w:t xml:space="preserve"> </w:t>
      </w:r>
      <w:r w:rsidRPr="001B62BF">
        <w:rPr>
          <w:rFonts w:cs="Times New Roman"/>
          <w:szCs w:val="28"/>
          <w:lang w:val="uk-UA"/>
        </w:rPr>
        <w:t>бухгалтерських документів.</w:t>
      </w:r>
    </w:p>
    <w:p w:rsidR="001B62BF" w:rsidRPr="001B62BF" w:rsidRDefault="001B62BF" w:rsidP="001B62BF">
      <w:pPr>
        <w:jc w:val="both"/>
        <w:rPr>
          <w:rFonts w:cs="Times New Roman"/>
          <w:szCs w:val="28"/>
          <w:lang w:val="uk-UA"/>
        </w:rPr>
      </w:pPr>
      <w:r w:rsidRPr="001B62BF">
        <w:rPr>
          <w:rFonts w:cs="Times New Roman"/>
          <w:szCs w:val="28"/>
          <w:lang w:val="uk-UA"/>
        </w:rPr>
        <w:t>6. Тестування застосовної кореспонденції бухгалтерського обліку</w:t>
      </w:r>
      <w:r w:rsidR="0029200F">
        <w:rPr>
          <w:rFonts w:cs="Times New Roman"/>
          <w:szCs w:val="28"/>
          <w:lang w:val="uk-UA"/>
        </w:rPr>
        <w:t xml:space="preserve"> </w:t>
      </w:r>
      <w:r w:rsidRPr="001B62BF">
        <w:rPr>
          <w:rFonts w:cs="Times New Roman"/>
          <w:szCs w:val="28"/>
          <w:lang w:val="uk-UA"/>
        </w:rPr>
        <w:t>на відповідність концептуальній основі бухгалтерського обліку.</w:t>
      </w:r>
    </w:p>
    <w:p w:rsidR="001B62BF" w:rsidRPr="001B62BF" w:rsidRDefault="001B62BF" w:rsidP="001B62BF">
      <w:pPr>
        <w:jc w:val="both"/>
        <w:rPr>
          <w:rFonts w:cs="Times New Roman"/>
          <w:szCs w:val="28"/>
          <w:lang w:val="uk-UA"/>
        </w:rPr>
      </w:pPr>
      <w:r w:rsidRPr="001B62BF">
        <w:rPr>
          <w:rFonts w:cs="Times New Roman"/>
          <w:szCs w:val="28"/>
          <w:lang w:val="uk-UA"/>
        </w:rPr>
        <w:t>7. Тестування на відповідність даних бухгалтерського обліку з даними форми № 1ДФ.</w:t>
      </w:r>
    </w:p>
    <w:p w:rsidR="001B62BF" w:rsidRPr="001B62BF" w:rsidRDefault="001B62BF" w:rsidP="001B62BF">
      <w:pPr>
        <w:jc w:val="both"/>
        <w:rPr>
          <w:rFonts w:cs="Times New Roman"/>
          <w:szCs w:val="28"/>
          <w:lang w:val="uk-UA"/>
        </w:rPr>
      </w:pPr>
      <w:r w:rsidRPr="001B62BF">
        <w:rPr>
          <w:rFonts w:cs="Times New Roman"/>
          <w:szCs w:val="28"/>
          <w:lang w:val="uk-UA"/>
        </w:rPr>
        <w:t>8. Перевірка своєчасності та повноти сплати податків з даних форми №</w:t>
      </w:r>
      <w:r w:rsidR="0029200F">
        <w:rPr>
          <w:rFonts w:cs="Times New Roman"/>
          <w:szCs w:val="28"/>
          <w:lang w:val="uk-UA"/>
        </w:rPr>
        <w:t> </w:t>
      </w:r>
      <w:r w:rsidRPr="001B62BF">
        <w:rPr>
          <w:rFonts w:cs="Times New Roman"/>
          <w:szCs w:val="28"/>
          <w:lang w:val="uk-UA"/>
        </w:rPr>
        <w:t>1ДФ з даними бухгалтерського обліку.</w:t>
      </w:r>
    </w:p>
    <w:p w:rsidR="00E7079F" w:rsidRDefault="001B62BF" w:rsidP="001B62BF">
      <w:pPr>
        <w:jc w:val="both"/>
        <w:rPr>
          <w:rFonts w:cs="Times New Roman"/>
          <w:szCs w:val="28"/>
          <w:lang w:val="uk-UA"/>
        </w:rPr>
      </w:pPr>
      <w:r w:rsidRPr="001B62BF">
        <w:rPr>
          <w:rFonts w:cs="Times New Roman"/>
          <w:szCs w:val="28"/>
          <w:lang w:val="uk-UA"/>
        </w:rPr>
        <w:t>9. Тестування даних форми № 1ДФ на відповідність вимогам її</w:t>
      </w:r>
      <w:r w:rsidR="0029200F">
        <w:rPr>
          <w:rFonts w:cs="Times New Roman"/>
          <w:szCs w:val="28"/>
          <w:lang w:val="uk-UA"/>
        </w:rPr>
        <w:t xml:space="preserve"> </w:t>
      </w:r>
      <w:r w:rsidRPr="001B62BF">
        <w:rPr>
          <w:rFonts w:cs="Times New Roman"/>
          <w:szCs w:val="28"/>
          <w:lang w:val="uk-UA"/>
        </w:rPr>
        <w:t>складання.</w:t>
      </w:r>
    </w:p>
    <w:p w:rsidR="0029200F" w:rsidRPr="001B62BF" w:rsidRDefault="0029200F" w:rsidP="001B62BF">
      <w:pPr>
        <w:jc w:val="both"/>
        <w:rPr>
          <w:rFonts w:cs="Times New Roman"/>
          <w:szCs w:val="28"/>
          <w:lang w:val="uk-UA"/>
        </w:rPr>
      </w:pPr>
    </w:p>
    <w:p w:rsidR="001B62BF" w:rsidRPr="00447C12" w:rsidRDefault="00483764" w:rsidP="0029200F">
      <w:pPr>
        <w:jc w:val="both"/>
        <w:rPr>
          <w:b/>
          <w:lang w:val="uk-UA"/>
        </w:rPr>
      </w:pPr>
      <w:r>
        <w:rPr>
          <w:b/>
          <w:lang w:val="uk-UA"/>
        </w:rPr>
        <w:lastRenderedPageBreak/>
        <w:t>5</w:t>
      </w:r>
      <w:bookmarkStart w:id="0" w:name="_GoBack"/>
      <w:bookmarkEnd w:id="0"/>
      <w:r w:rsidR="0029200F" w:rsidRPr="00447C12">
        <w:rPr>
          <w:b/>
          <w:lang w:val="uk-UA"/>
        </w:rPr>
        <w:t>.2 Специфічні аспекти аудиту податку на доходи фізичних осіб та документування результатів роботи аудитора</w:t>
      </w:r>
    </w:p>
    <w:p w:rsidR="001B62BF" w:rsidRPr="001B62BF" w:rsidRDefault="001B62BF" w:rsidP="0029200F">
      <w:pPr>
        <w:jc w:val="both"/>
        <w:rPr>
          <w:rFonts w:cs="Times New Roman"/>
          <w:szCs w:val="28"/>
          <w:lang w:val="uk-UA"/>
        </w:rPr>
      </w:pPr>
      <w:r w:rsidRPr="001B62BF">
        <w:rPr>
          <w:rFonts w:cs="Times New Roman"/>
          <w:szCs w:val="28"/>
          <w:lang w:val="uk-UA"/>
        </w:rPr>
        <w:t>При перевірці слід мати на увазі наявність певних ризиків економічних (фінансових) санкцій для податкового агента – об’єкта перевірки, які можуть бути накладені на нього за певні порушення з</w:t>
      </w:r>
      <w:r w:rsidR="00447C12">
        <w:rPr>
          <w:rFonts w:cs="Times New Roman"/>
          <w:szCs w:val="28"/>
          <w:lang w:val="uk-UA"/>
        </w:rPr>
        <w:t xml:space="preserve"> </w:t>
      </w:r>
      <w:r w:rsidRPr="001B62BF">
        <w:rPr>
          <w:rFonts w:cs="Times New Roman"/>
          <w:szCs w:val="28"/>
          <w:lang w:val="uk-UA"/>
        </w:rPr>
        <w:t>боку його бухгалтерії (бухгалтера).</w:t>
      </w:r>
    </w:p>
    <w:p w:rsidR="001B62BF" w:rsidRPr="001B62BF" w:rsidRDefault="001B62BF" w:rsidP="001B62BF">
      <w:pPr>
        <w:jc w:val="both"/>
        <w:rPr>
          <w:rFonts w:cs="Times New Roman"/>
          <w:szCs w:val="28"/>
          <w:lang w:val="uk-UA"/>
        </w:rPr>
      </w:pPr>
      <w:r w:rsidRPr="001B62BF">
        <w:rPr>
          <w:rFonts w:cs="Times New Roman"/>
          <w:szCs w:val="28"/>
          <w:lang w:val="uk-UA"/>
        </w:rPr>
        <w:t>Так, згідно зі ст. 119 Податкового кодексу України неподання, подання з порушеннями встановлених строків, подання не в повному</w:t>
      </w:r>
      <w:r w:rsidR="00447C12">
        <w:rPr>
          <w:rFonts w:cs="Times New Roman"/>
          <w:szCs w:val="28"/>
          <w:lang w:val="uk-UA"/>
        </w:rPr>
        <w:t xml:space="preserve"> </w:t>
      </w:r>
      <w:r w:rsidRPr="001B62BF">
        <w:rPr>
          <w:rFonts w:cs="Times New Roman"/>
          <w:szCs w:val="28"/>
          <w:lang w:val="uk-UA"/>
        </w:rPr>
        <w:t>обсязі, з недостовірними відомостями або з помилками податкової</w:t>
      </w:r>
      <w:r w:rsidR="00447C12">
        <w:rPr>
          <w:rFonts w:cs="Times New Roman"/>
          <w:szCs w:val="28"/>
          <w:lang w:val="uk-UA"/>
        </w:rPr>
        <w:t xml:space="preserve"> </w:t>
      </w:r>
      <w:r w:rsidRPr="001B62BF">
        <w:rPr>
          <w:rFonts w:cs="Times New Roman"/>
          <w:szCs w:val="28"/>
          <w:lang w:val="uk-UA"/>
        </w:rPr>
        <w:t>звітності про суми доходів, нарахованих (сплачених) на користь</w:t>
      </w:r>
      <w:r w:rsidR="00447C12">
        <w:rPr>
          <w:rFonts w:cs="Times New Roman"/>
          <w:szCs w:val="28"/>
          <w:lang w:val="uk-UA"/>
        </w:rPr>
        <w:t xml:space="preserve"> </w:t>
      </w:r>
      <w:r w:rsidRPr="001B62BF">
        <w:rPr>
          <w:rFonts w:cs="Times New Roman"/>
          <w:szCs w:val="28"/>
          <w:lang w:val="uk-UA"/>
        </w:rPr>
        <w:t>платників податків, суми утриманого з них податку – тягнуть за собою накладення штрафу у розмірі 510 грн. Такі само дії, вчинені платником податків, до якого протягом року було застосовано штраф</w:t>
      </w:r>
      <w:r w:rsidR="00447C12">
        <w:rPr>
          <w:rFonts w:cs="Times New Roman"/>
          <w:szCs w:val="28"/>
          <w:lang w:val="uk-UA"/>
        </w:rPr>
        <w:t xml:space="preserve"> </w:t>
      </w:r>
      <w:r w:rsidRPr="001B62BF">
        <w:rPr>
          <w:rFonts w:cs="Times New Roman"/>
          <w:szCs w:val="28"/>
          <w:lang w:val="uk-UA"/>
        </w:rPr>
        <w:t>саме за таке порушення, – тягнуть за собою накладення штрафу у</w:t>
      </w:r>
      <w:r w:rsidR="00447C12">
        <w:rPr>
          <w:rFonts w:cs="Times New Roman"/>
          <w:szCs w:val="28"/>
          <w:lang w:val="uk-UA"/>
        </w:rPr>
        <w:t xml:space="preserve"> </w:t>
      </w:r>
      <w:r w:rsidRPr="001B62BF">
        <w:rPr>
          <w:rFonts w:cs="Times New Roman"/>
          <w:szCs w:val="28"/>
          <w:lang w:val="uk-UA"/>
        </w:rPr>
        <w:t>розмірі 1020 грн.</w:t>
      </w:r>
    </w:p>
    <w:p w:rsidR="001B62BF" w:rsidRPr="001B62BF" w:rsidRDefault="001B62BF" w:rsidP="001B62BF">
      <w:pPr>
        <w:jc w:val="both"/>
        <w:rPr>
          <w:rFonts w:cs="Times New Roman"/>
          <w:szCs w:val="28"/>
          <w:lang w:val="uk-UA"/>
        </w:rPr>
      </w:pPr>
      <w:r w:rsidRPr="001B62BF">
        <w:rPr>
          <w:rFonts w:cs="Times New Roman"/>
          <w:szCs w:val="28"/>
          <w:lang w:val="uk-UA"/>
        </w:rPr>
        <w:t>Оформлення документів, які містять інформацію про об’єкти</w:t>
      </w:r>
      <w:r w:rsidR="00447C12">
        <w:rPr>
          <w:rFonts w:cs="Times New Roman"/>
          <w:szCs w:val="28"/>
          <w:lang w:val="uk-UA"/>
        </w:rPr>
        <w:t xml:space="preserve"> </w:t>
      </w:r>
      <w:r w:rsidRPr="001B62BF">
        <w:rPr>
          <w:rFonts w:cs="Times New Roman"/>
          <w:szCs w:val="28"/>
          <w:lang w:val="uk-UA"/>
        </w:rPr>
        <w:t>оподаткування фізичних осіб або про сплату податків без зазначеного реєстраційного номера облікової картки платника податків або з</w:t>
      </w:r>
      <w:r w:rsidR="00447C12">
        <w:rPr>
          <w:rFonts w:cs="Times New Roman"/>
          <w:szCs w:val="28"/>
          <w:lang w:val="uk-UA"/>
        </w:rPr>
        <w:t xml:space="preserve"> </w:t>
      </w:r>
      <w:r w:rsidRPr="001B62BF">
        <w:rPr>
          <w:rFonts w:cs="Times New Roman"/>
          <w:szCs w:val="28"/>
          <w:lang w:val="uk-UA"/>
        </w:rPr>
        <w:t>використанням недостовірного реєстраційного номера облікової</w:t>
      </w:r>
      <w:r w:rsidR="00447C12">
        <w:rPr>
          <w:rFonts w:cs="Times New Roman"/>
          <w:szCs w:val="28"/>
          <w:lang w:val="uk-UA"/>
        </w:rPr>
        <w:t xml:space="preserve"> </w:t>
      </w:r>
      <w:r w:rsidRPr="001B62BF">
        <w:rPr>
          <w:rFonts w:cs="Times New Roman"/>
          <w:szCs w:val="28"/>
          <w:lang w:val="uk-UA"/>
        </w:rPr>
        <w:t>картки платника податків, крім випадків, зазначених у п. 119.3 ст. 119</w:t>
      </w:r>
      <w:r w:rsidR="00447C12">
        <w:rPr>
          <w:rFonts w:cs="Times New Roman"/>
          <w:szCs w:val="28"/>
          <w:lang w:val="uk-UA"/>
        </w:rPr>
        <w:t xml:space="preserve"> </w:t>
      </w:r>
      <w:r w:rsidRPr="001B62BF">
        <w:rPr>
          <w:rFonts w:cs="Times New Roman"/>
          <w:szCs w:val="28"/>
          <w:lang w:val="uk-UA"/>
        </w:rPr>
        <w:t>П</w:t>
      </w:r>
      <w:r w:rsidR="00447C12">
        <w:rPr>
          <w:rFonts w:cs="Times New Roman"/>
          <w:szCs w:val="28"/>
          <w:lang w:val="uk-UA"/>
        </w:rPr>
        <w:t>К</w:t>
      </w:r>
      <w:r w:rsidRPr="001B62BF">
        <w:rPr>
          <w:rFonts w:cs="Times New Roman"/>
          <w:szCs w:val="28"/>
          <w:lang w:val="uk-UA"/>
        </w:rPr>
        <w:t>У, – тягне за собою накладення штрафу</w:t>
      </w:r>
      <w:r w:rsidR="00447C12">
        <w:rPr>
          <w:rFonts w:cs="Times New Roman"/>
          <w:szCs w:val="28"/>
          <w:lang w:val="uk-UA"/>
        </w:rPr>
        <w:t xml:space="preserve"> </w:t>
      </w:r>
      <w:r w:rsidRPr="001B62BF">
        <w:rPr>
          <w:rFonts w:cs="Times New Roman"/>
          <w:szCs w:val="28"/>
          <w:lang w:val="uk-UA"/>
        </w:rPr>
        <w:t>у розмірі 170 грн.</w:t>
      </w:r>
    </w:p>
    <w:p w:rsidR="001B62BF" w:rsidRPr="001B62BF" w:rsidRDefault="001B62BF" w:rsidP="001B62BF">
      <w:pPr>
        <w:jc w:val="both"/>
        <w:rPr>
          <w:rFonts w:cs="Times New Roman"/>
          <w:szCs w:val="28"/>
          <w:lang w:val="uk-UA"/>
        </w:rPr>
      </w:pPr>
      <w:r w:rsidRPr="001B62BF">
        <w:rPr>
          <w:rFonts w:cs="Times New Roman"/>
          <w:szCs w:val="28"/>
          <w:lang w:val="uk-UA"/>
        </w:rPr>
        <w:t xml:space="preserve">Аудитор повинен також мати на увазі, що за п. </w:t>
      </w:r>
      <w:r w:rsidR="00447C12">
        <w:rPr>
          <w:rFonts w:cs="Times New Roman"/>
          <w:szCs w:val="28"/>
          <w:lang w:val="uk-UA"/>
        </w:rPr>
        <w:t>«</w:t>
      </w:r>
      <w:r w:rsidRPr="001B62BF">
        <w:rPr>
          <w:rFonts w:cs="Times New Roman"/>
          <w:szCs w:val="28"/>
          <w:lang w:val="uk-UA"/>
        </w:rPr>
        <w:t>г</w:t>
      </w:r>
      <w:r w:rsidR="00447C12">
        <w:rPr>
          <w:rFonts w:cs="Times New Roman"/>
          <w:szCs w:val="28"/>
          <w:lang w:val="uk-UA"/>
        </w:rPr>
        <w:t>»</w:t>
      </w:r>
      <w:r w:rsidRPr="001B62BF">
        <w:rPr>
          <w:rFonts w:cs="Times New Roman"/>
          <w:szCs w:val="28"/>
          <w:lang w:val="uk-UA"/>
        </w:rPr>
        <w:t xml:space="preserve"> ст. 176.2 особи,</w:t>
      </w:r>
      <w:r w:rsidR="00447C12">
        <w:rPr>
          <w:rFonts w:cs="Times New Roman"/>
          <w:szCs w:val="28"/>
          <w:lang w:val="uk-UA"/>
        </w:rPr>
        <w:t xml:space="preserve"> </w:t>
      </w:r>
      <w:r w:rsidRPr="001B62BF">
        <w:rPr>
          <w:rFonts w:cs="Times New Roman"/>
          <w:szCs w:val="28"/>
          <w:lang w:val="uk-UA"/>
        </w:rPr>
        <w:t>які мають статус податкових агентів, несуть відповідальність за законом у разі неподання або несвоєчасного подання податкового розрахунку.</w:t>
      </w:r>
    </w:p>
    <w:p w:rsidR="001B62BF" w:rsidRPr="001B62BF" w:rsidRDefault="001B62BF" w:rsidP="001B62BF">
      <w:pPr>
        <w:jc w:val="both"/>
        <w:rPr>
          <w:rFonts w:cs="Times New Roman"/>
          <w:szCs w:val="28"/>
          <w:lang w:val="uk-UA"/>
        </w:rPr>
      </w:pPr>
      <w:r w:rsidRPr="001B62BF">
        <w:rPr>
          <w:rFonts w:cs="Times New Roman"/>
          <w:szCs w:val="28"/>
          <w:lang w:val="uk-UA"/>
        </w:rPr>
        <w:t>Зазначені в такому розрахунку суми податків, що сплачуються до</w:t>
      </w:r>
      <w:r w:rsidR="00447C12">
        <w:rPr>
          <w:rFonts w:cs="Times New Roman"/>
          <w:szCs w:val="28"/>
          <w:lang w:val="uk-UA"/>
        </w:rPr>
        <w:t xml:space="preserve"> </w:t>
      </w:r>
      <w:r w:rsidRPr="001B62BF">
        <w:rPr>
          <w:rFonts w:cs="Times New Roman"/>
          <w:szCs w:val="28"/>
          <w:lang w:val="uk-UA"/>
        </w:rPr>
        <w:t>бюджету, є узгодженими сумами податкових зобов’язань податкового агента та в разі неповної чи несвоєчасної сплати стягуються до</w:t>
      </w:r>
      <w:r w:rsidR="00447C12">
        <w:rPr>
          <w:rFonts w:cs="Times New Roman"/>
          <w:szCs w:val="28"/>
          <w:lang w:val="uk-UA"/>
        </w:rPr>
        <w:t xml:space="preserve"> </w:t>
      </w:r>
      <w:r w:rsidRPr="001B62BF">
        <w:rPr>
          <w:rFonts w:cs="Times New Roman"/>
          <w:szCs w:val="28"/>
          <w:lang w:val="uk-UA"/>
        </w:rPr>
        <w:t>бюджету разом зі сплатою штрафів та пені, які нараховуються від</w:t>
      </w:r>
      <w:r w:rsidR="00447C12">
        <w:rPr>
          <w:rFonts w:cs="Times New Roman"/>
          <w:szCs w:val="28"/>
          <w:lang w:val="uk-UA"/>
        </w:rPr>
        <w:t xml:space="preserve"> </w:t>
      </w:r>
      <w:r w:rsidRPr="001B62BF">
        <w:rPr>
          <w:rFonts w:cs="Times New Roman"/>
          <w:szCs w:val="28"/>
          <w:lang w:val="uk-UA"/>
        </w:rPr>
        <w:t>першого до останнього дня строку подання податкового розрахунку,</w:t>
      </w:r>
      <w:r w:rsidR="00447C12">
        <w:rPr>
          <w:rFonts w:cs="Times New Roman"/>
          <w:szCs w:val="28"/>
          <w:lang w:val="uk-UA"/>
        </w:rPr>
        <w:t xml:space="preserve"> </w:t>
      </w:r>
      <w:r w:rsidRPr="001B62BF">
        <w:rPr>
          <w:rFonts w:cs="Times New Roman"/>
          <w:szCs w:val="28"/>
          <w:lang w:val="uk-UA"/>
        </w:rPr>
        <w:t>встановленого ПКУ України.</w:t>
      </w:r>
    </w:p>
    <w:p w:rsidR="001B62BF" w:rsidRPr="001B62BF" w:rsidRDefault="001B62BF" w:rsidP="00447C12">
      <w:pPr>
        <w:jc w:val="both"/>
        <w:rPr>
          <w:rFonts w:cs="Times New Roman"/>
          <w:szCs w:val="28"/>
          <w:lang w:val="uk-UA"/>
        </w:rPr>
      </w:pPr>
      <w:r w:rsidRPr="001B62BF">
        <w:rPr>
          <w:rFonts w:cs="Times New Roman"/>
          <w:szCs w:val="28"/>
          <w:lang w:val="uk-UA"/>
        </w:rPr>
        <w:t xml:space="preserve">Численні порушення можуть полягати у неправильному застосуванні ставок оподаткування фізичних осіб. Практика аудиту свідчить про досить </w:t>
      </w:r>
      <w:r w:rsidRPr="001B62BF">
        <w:rPr>
          <w:rFonts w:cs="Times New Roman"/>
          <w:szCs w:val="28"/>
          <w:lang w:val="uk-UA"/>
        </w:rPr>
        <w:lastRenderedPageBreak/>
        <w:t>поширені помилки бухгалтерів щодо застосовування тієї чи іншої ставки податку.</w:t>
      </w:r>
    </w:p>
    <w:p w:rsidR="001B62BF" w:rsidRPr="001B62BF" w:rsidRDefault="001B62BF" w:rsidP="001B62BF">
      <w:pPr>
        <w:jc w:val="both"/>
        <w:rPr>
          <w:rFonts w:cs="Times New Roman"/>
          <w:szCs w:val="28"/>
          <w:lang w:val="uk-UA"/>
        </w:rPr>
      </w:pPr>
      <w:r w:rsidRPr="001B62BF">
        <w:rPr>
          <w:rFonts w:cs="Times New Roman"/>
          <w:szCs w:val="28"/>
          <w:lang w:val="uk-UA"/>
        </w:rPr>
        <w:t>На особливу увагу заслуговує аудиторська перевірка податкових</w:t>
      </w:r>
      <w:r w:rsidR="00447C12">
        <w:rPr>
          <w:rFonts w:cs="Times New Roman"/>
          <w:szCs w:val="28"/>
          <w:lang w:val="uk-UA"/>
        </w:rPr>
        <w:t xml:space="preserve"> </w:t>
      </w:r>
      <w:r w:rsidRPr="001B62BF">
        <w:rPr>
          <w:rFonts w:cs="Times New Roman"/>
          <w:szCs w:val="28"/>
          <w:lang w:val="uk-UA"/>
        </w:rPr>
        <w:t>соціальних пільг. Згідно зі ст. 169 П</w:t>
      </w:r>
      <w:r w:rsidR="00447C12">
        <w:rPr>
          <w:rFonts w:cs="Times New Roman"/>
          <w:szCs w:val="28"/>
          <w:lang w:val="uk-UA"/>
        </w:rPr>
        <w:t>КУ</w:t>
      </w:r>
      <w:r w:rsidRPr="001B62BF">
        <w:rPr>
          <w:rFonts w:cs="Times New Roman"/>
          <w:szCs w:val="28"/>
          <w:lang w:val="uk-UA"/>
        </w:rPr>
        <w:t xml:space="preserve"> платник податку має право на зменшення загального місячного оподаткування доходу, отриманого від одного роботодавця у вигляді заробітної плати, на суму податкової соціальної пільги у розмірі:</w:t>
      </w:r>
    </w:p>
    <w:p w:rsidR="001B62BF" w:rsidRPr="001B62BF" w:rsidRDefault="001B62BF" w:rsidP="001B62BF">
      <w:pPr>
        <w:jc w:val="both"/>
        <w:rPr>
          <w:rFonts w:cs="Times New Roman"/>
          <w:szCs w:val="28"/>
          <w:lang w:val="uk-UA"/>
        </w:rPr>
      </w:pPr>
      <w:r w:rsidRPr="001B62BF">
        <w:rPr>
          <w:rFonts w:cs="Times New Roman"/>
          <w:szCs w:val="28"/>
          <w:lang w:val="uk-UA"/>
        </w:rPr>
        <w:t>– 100 % розміру прожиткового мінімуму (у розрахунку на місяць), встановленого законом на 1 січня звітного податкового</w:t>
      </w:r>
      <w:r w:rsidR="00447C12">
        <w:rPr>
          <w:rFonts w:cs="Times New Roman"/>
          <w:szCs w:val="28"/>
          <w:lang w:val="uk-UA"/>
        </w:rPr>
        <w:t xml:space="preserve"> </w:t>
      </w:r>
      <w:r w:rsidRPr="001B62BF">
        <w:rPr>
          <w:rFonts w:cs="Times New Roman"/>
          <w:szCs w:val="28"/>
          <w:lang w:val="uk-UA"/>
        </w:rPr>
        <w:t>року (пп. 169.1.1); суми пільги для платника податків, що утримує двох і більше дітей віком до 18 років (у розрахунку на кожну дитину) (пп. 169.1.2);</w:t>
      </w:r>
    </w:p>
    <w:p w:rsidR="001B62BF" w:rsidRPr="001B62BF" w:rsidRDefault="001B62BF" w:rsidP="001B62BF">
      <w:pPr>
        <w:jc w:val="both"/>
        <w:rPr>
          <w:rFonts w:cs="Times New Roman"/>
          <w:szCs w:val="28"/>
          <w:lang w:val="uk-UA"/>
        </w:rPr>
      </w:pPr>
      <w:r w:rsidRPr="001B62BF">
        <w:rPr>
          <w:rFonts w:cs="Times New Roman"/>
          <w:szCs w:val="28"/>
          <w:lang w:val="uk-UA"/>
        </w:rPr>
        <w:t>– 150 % суми пільги для платника податку, який: є одинокою матір’ю (батьком) у розрахунку на кожну дитину віком до 18 років;</w:t>
      </w:r>
    </w:p>
    <w:p w:rsidR="001B62BF" w:rsidRPr="001B62BF" w:rsidRDefault="001B62BF" w:rsidP="001B62BF">
      <w:pPr>
        <w:jc w:val="both"/>
        <w:rPr>
          <w:rFonts w:cs="Times New Roman"/>
          <w:szCs w:val="28"/>
          <w:lang w:val="uk-UA"/>
        </w:rPr>
      </w:pPr>
      <w:r w:rsidRPr="001B62BF">
        <w:rPr>
          <w:rFonts w:cs="Times New Roman"/>
          <w:szCs w:val="28"/>
          <w:lang w:val="uk-UA"/>
        </w:rPr>
        <w:t>утримує дитину-інваліда у розрахунку на кожну дитину віком до</w:t>
      </w:r>
      <w:r w:rsidR="00447C12">
        <w:rPr>
          <w:rFonts w:cs="Times New Roman"/>
          <w:szCs w:val="28"/>
          <w:lang w:val="uk-UA"/>
        </w:rPr>
        <w:t xml:space="preserve"> </w:t>
      </w:r>
      <w:r w:rsidRPr="001B62BF">
        <w:rPr>
          <w:rFonts w:cs="Times New Roman"/>
          <w:szCs w:val="28"/>
          <w:lang w:val="uk-UA"/>
        </w:rPr>
        <w:t>18 років; що є учнем, студентом, аспірантом, ординатором,</w:t>
      </w:r>
      <w:r w:rsidR="00447C12">
        <w:rPr>
          <w:rFonts w:cs="Times New Roman"/>
          <w:szCs w:val="28"/>
          <w:lang w:val="uk-UA"/>
        </w:rPr>
        <w:t xml:space="preserve"> </w:t>
      </w:r>
      <w:r w:rsidRPr="001B62BF">
        <w:rPr>
          <w:rFonts w:cs="Times New Roman"/>
          <w:szCs w:val="28"/>
          <w:lang w:val="uk-UA"/>
        </w:rPr>
        <w:t>ад’юнк том; є інвалідом 1-ї або 2-ї групи, у тому числі з дитинства, тощо (пп. 169.1.3);</w:t>
      </w:r>
    </w:p>
    <w:p w:rsidR="001B62BF" w:rsidRPr="001B62BF" w:rsidRDefault="001B62BF" w:rsidP="001B62BF">
      <w:pPr>
        <w:jc w:val="both"/>
        <w:rPr>
          <w:rFonts w:cs="Times New Roman"/>
          <w:szCs w:val="28"/>
          <w:lang w:val="uk-UA"/>
        </w:rPr>
      </w:pPr>
      <w:r w:rsidRPr="001B62BF">
        <w:rPr>
          <w:rFonts w:cs="Times New Roman"/>
          <w:szCs w:val="28"/>
          <w:lang w:val="uk-UA"/>
        </w:rPr>
        <w:t>– 200 % суми пільги для платника податку, який є: Героєм України, Героєм Радянського Союзу, Героєм Соціалістичної Праці,</w:t>
      </w:r>
      <w:r w:rsidR="00447C12">
        <w:rPr>
          <w:rFonts w:cs="Times New Roman"/>
          <w:szCs w:val="28"/>
          <w:lang w:val="uk-UA"/>
        </w:rPr>
        <w:t xml:space="preserve"> </w:t>
      </w:r>
      <w:r w:rsidRPr="001B62BF">
        <w:rPr>
          <w:rFonts w:cs="Times New Roman"/>
          <w:szCs w:val="28"/>
          <w:lang w:val="uk-UA"/>
        </w:rPr>
        <w:t>повним кавалером орденів Слави та ордена Трудової Слави,</w:t>
      </w:r>
      <w:r w:rsidR="00447C12">
        <w:rPr>
          <w:rFonts w:cs="Times New Roman"/>
          <w:szCs w:val="28"/>
          <w:lang w:val="uk-UA"/>
        </w:rPr>
        <w:t xml:space="preserve"> </w:t>
      </w:r>
      <w:r w:rsidRPr="001B62BF">
        <w:rPr>
          <w:rFonts w:cs="Times New Roman"/>
          <w:szCs w:val="28"/>
          <w:lang w:val="uk-UA"/>
        </w:rPr>
        <w:t xml:space="preserve">нагороджений чотирма і більше медалями </w:t>
      </w:r>
      <w:r w:rsidR="00447C12">
        <w:rPr>
          <w:rFonts w:cs="Times New Roman"/>
          <w:szCs w:val="28"/>
          <w:lang w:val="uk-UA"/>
        </w:rPr>
        <w:t>«</w:t>
      </w:r>
      <w:r w:rsidRPr="001B62BF">
        <w:rPr>
          <w:rFonts w:cs="Times New Roman"/>
          <w:szCs w:val="28"/>
          <w:lang w:val="uk-UA"/>
        </w:rPr>
        <w:t>За відвагу</w:t>
      </w:r>
      <w:r w:rsidR="00447C12">
        <w:rPr>
          <w:rFonts w:cs="Times New Roman"/>
          <w:szCs w:val="28"/>
          <w:lang w:val="uk-UA"/>
        </w:rPr>
        <w:t>»</w:t>
      </w:r>
      <w:r w:rsidRPr="001B62BF">
        <w:rPr>
          <w:rFonts w:cs="Times New Roman"/>
          <w:szCs w:val="28"/>
          <w:lang w:val="uk-UA"/>
        </w:rPr>
        <w:t>; учасником бойових дій під час Другої світової війни та має інші чинники преференцій, визначені у пп. 169.1.4.</w:t>
      </w:r>
    </w:p>
    <w:p w:rsidR="001B62BF" w:rsidRPr="001B62BF" w:rsidRDefault="001B62BF" w:rsidP="001B62BF">
      <w:pPr>
        <w:jc w:val="both"/>
        <w:rPr>
          <w:rFonts w:cs="Times New Roman"/>
          <w:szCs w:val="28"/>
          <w:lang w:val="uk-UA"/>
        </w:rPr>
      </w:pPr>
      <w:r w:rsidRPr="001B62BF">
        <w:rPr>
          <w:rFonts w:cs="Times New Roman"/>
          <w:szCs w:val="28"/>
          <w:lang w:val="uk-UA"/>
        </w:rPr>
        <w:t xml:space="preserve">Податкова соціальна пільга застосовується до </w:t>
      </w:r>
      <w:r w:rsidR="00447C12" w:rsidRPr="001B62BF">
        <w:rPr>
          <w:rFonts w:cs="Times New Roman"/>
          <w:szCs w:val="28"/>
          <w:lang w:val="uk-UA"/>
        </w:rPr>
        <w:t xml:space="preserve">місячного доходу </w:t>
      </w:r>
      <w:r w:rsidRPr="001B62BF">
        <w:rPr>
          <w:rFonts w:cs="Times New Roman"/>
          <w:szCs w:val="28"/>
          <w:lang w:val="uk-UA"/>
        </w:rPr>
        <w:t>платника податку</w:t>
      </w:r>
      <w:r w:rsidR="00447C12">
        <w:rPr>
          <w:rFonts w:cs="Times New Roman"/>
          <w:szCs w:val="28"/>
          <w:lang w:val="uk-UA"/>
        </w:rPr>
        <w:t xml:space="preserve"> </w:t>
      </w:r>
      <w:r w:rsidRPr="001B62BF">
        <w:rPr>
          <w:rFonts w:cs="Times New Roman"/>
          <w:szCs w:val="28"/>
          <w:lang w:val="uk-UA"/>
        </w:rPr>
        <w:t>у вигляді з</w:t>
      </w:r>
      <w:r w:rsidR="00447C12">
        <w:rPr>
          <w:rFonts w:cs="Times New Roman"/>
          <w:szCs w:val="28"/>
          <w:lang w:val="uk-UA"/>
        </w:rPr>
        <w:t>аробітної плати тільки за одним місцем його нарахування</w:t>
      </w:r>
      <w:r w:rsidRPr="001B62BF">
        <w:rPr>
          <w:rFonts w:cs="Times New Roman"/>
          <w:szCs w:val="28"/>
          <w:lang w:val="uk-UA"/>
        </w:rPr>
        <w:t xml:space="preserve"> </w:t>
      </w:r>
      <w:r w:rsidR="00447C12">
        <w:rPr>
          <w:rFonts w:cs="Times New Roman"/>
          <w:szCs w:val="28"/>
          <w:lang w:val="uk-UA"/>
        </w:rPr>
        <w:t>(виплати).</w:t>
      </w:r>
    </w:p>
    <w:p w:rsidR="001B62BF" w:rsidRPr="001B62BF" w:rsidRDefault="001B62BF" w:rsidP="001B62BF">
      <w:pPr>
        <w:jc w:val="both"/>
        <w:rPr>
          <w:rFonts w:cs="Times New Roman"/>
          <w:szCs w:val="28"/>
          <w:lang w:val="uk-UA"/>
        </w:rPr>
      </w:pPr>
      <w:r w:rsidRPr="001B62BF">
        <w:rPr>
          <w:rFonts w:cs="Times New Roman"/>
          <w:szCs w:val="28"/>
          <w:lang w:val="uk-UA"/>
        </w:rPr>
        <w:t>Податкова соціальна пільга не застосовується до:</w:t>
      </w:r>
    </w:p>
    <w:p w:rsidR="001B62BF" w:rsidRPr="001B62BF" w:rsidRDefault="001B62BF" w:rsidP="001B62BF">
      <w:pPr>
        <w:jc w:val="both"/>
        <w:rPr>
          <w:rFonts w:cs="Times New Roman"/>
          <w:szCs w:val="28"/>
          <w:lang w:val="uk-UA"/>
        </w:rPr>
      </w:pPr>
      <w:r w:rsidRPr="001B62BF">
        <w:rPr>
          <w:rFonts w:cs="Times New Roman"/>
          <w:szCs w:val="28"/>
          <w:lang w:val="uk-UA"/>
        </w:rPr>
        <w:t>– доходів інших, ніж заробітна плата;</w:t>
      </w:r>
    </w:p>
    <w:p w:rsidR="001B62BF" w:rsidRPr="001B62BF" w:rsidRDefault="001B62BF" w:rsidP="001B62BF">
      <w:pPr>
        <w:jc w:val="both"/>
        <w:rPr>
          <w:rFonts w:cs="Times New Roman"/>
          <w:szCs w:val="28"/>
          <w:lang w:val="uk-UA"/>
        </w:rPr>
      </w:pPr>
      <w:r w:rsidRPr="001B62BF">
        <w:rPr>
          <w:rFonts w:cs="Times New Roman"/>
          <w:szCs w:val="28"/>
          <w:lang w:val="uk-UA"/>
        </w:rPr>
        <w:t>– заробітної плати, яку платник податку протягом звітного податкового місяця отримує одночасно з доходами у вигляді стипендій, грошового (майнового) забезпечення учнів, студентів,</w:t>
      </w:r>
      <w:r w:rsidR="00447C12">
        <w:rPr>
          <w:rFonts w:cs="Times New Roman"/>
          <w:szCs w:val="28"/>
          <w:lang w:val="uk-UA"/>
        </w:rPr>
        <w:t xml:space="preserve"> </w:t>
      </w:r>
      <w:r w:rsidRPr="001B62BF">
        <w:rPr>
          <w:rFonts w:cs="Times New Roman"/>
          <w:szCs w:val="28"/>
          <w:lang w:val="uk-UA"/>
        </w:rPr>
        <w:t>аспірантів, ординаторів чи ад’юнктів, військовослужбовців, що</w:t>
      </w:r>
      <w:r w:rsidR="00447C12">
        <w:rPr>
          <w:rFonts w:cs="Times New Roman"/>
          <w:szCs w:val="28"/>
          <w:lang w:val="uk-UA"/>
        </w:rPr>
        <w:t xml:space="preserve"> </w:t>
      </w:r>
      <w:r w:rsidRPr="001B62BF">
        <w:rPr>
          <w:rFonts w:cs="Times New Roman"/>
          <w:szCs w:val="28"/>
          <w:lang w:val="uk-UA"/>
        </w:rPr>
        <w:t>виплачуються з бюджету;</w:t>
      </w:r>
    </w:p>
    <w:p w:rsidR="001B62BF" w:rsidRPr="001B62BF" w:rsidRDefault="001B62BF" w:rsidP="001B62BF">
      <w:pPr>
        <w:jc w:val="both"/>
        <w:rPr>
          <w:rFonts w:cs="Times New Roman"/>
          <w:szCs w:val="28"/>
          <w:lang w:val="uk-UA"/>
        </w:rPr>
      </w:pPr>
      <w:r w:rsidRPr="001B62BF">
        <w:rPr>
          <w:rFonts w:cs="Times New Roman"/>
          <w:szCs w:val="28"/>
          <w:lang w:val="uk-UA"/>
        </w:rPr>
        <w:lastRenderedPageBreak/>
        <w:t>– доходу самозайнятої особи від впровадження підприємницької діяльності, а також іншої незалежної професійної діяльності.</w:t>
      </w:r>
    </w:p>
    <w:p w:rsidR="001B62BF" w:rsidRPr="001B62BF" w:rsidRDefault="001B62BF" w:rsidP="001B62BF">
      <w:pPr>
        <w:jc w:val="both"/>
        <w:rPr>
          <w:rFonts w:cs="Times New Roman"/>
          <w:szCs w:val="28"/>
          <w:lang w:val="uk-UA"/>
        </w:rPr>
      </w:pPr>
      <w:r w:rsidRPr="001B62BF">
        <w:rPr>
          <w:rFonts w:cs="Times New Roman"/>
          <w:szCs w:val="28"/>
          <w:lang w:val="uk-UA"/>
        </w:rPr>
        <w:t>Податкова соціальна пільга застосовується до доходу, нарахованого на користь платника податку протягом звітного місяця як заробітна плата, якщо його розмір не перевищує суми, що дорівнює розміру місячного прожиткового мінімуму, чинного на 1 січня звітного</w:t>
      </w:r>
      <w:r w:rsidR="00447C12">
        <w:rPr>
          <w:rFonts w:cs="Times New Roman"/>
          <w:szCs w:val="28"/>
          <w:lang w:val="uk-UA"/>
        </w:rPr>
        <w:t xml:space="preserve"> </w:t>
      </w:r>
      <w:r w:rsidRPr="001B62BF">
        <w:rPr>
          <w:rFonts w:cs="Times New Roman"/>
          <w:szCs w:val="28"/>
          <w:lang w:val="uk-UA"/>
        </w:rPr>
        <w:t>податкового року, помноженого на 1,4 та округленого до найближчих 10 грн.</w:t>
      </w:r>
    </w:p>
    <w:p w:rsidR="00250989" w:rsidRDefault="001B62BF" w:rsidP="001B62BF">
      <w:pPr>
        <w:jc w:val="both"/>
        <w:rPr>
          <w:rFonts w:cs="Times New Roman"/>
          <w:szCs w:val="28"/>
          <w:lang w:val="uk-UA"/>
        </w:rPr>
      </w:pPr>
      <w:r w:rsidRPr="001B62BF">
        <w:rPr>
          <w:rFonts w:cs="Times New Roman"/>
          <w:szCs w:val="28"/>
          <w:lang w:val="uk-UA"/>
        </w:rPr>
        <w:t>Роботодавець платника податку повинен здійснити, у тому числі</w:t>
      </w:r>
      <w:r w:rsidR="00447C12">
        <w:rPr>
          <w:rFonts w:cs="Times New Roman"/>
          <w:szCs w:val="28"/>
          <w:lang w:val="uk-UA"/>
        </w:rPr>
        <w:t xml:space="preserve"> </w:t>
      </w:r>
      <w:r w:rsidRPr="001B62BF">
        <w:rPr>
          <w:rFonts w:cs="Times New Roman"/>
          <w:szCs w:val="28"/>
          <w:lang w:val="uk-UA"/>
        </w:rPr>
        <w:t>за місцем застосування податкової соціальної пільги, перерахунок</w:t>
      </w:r>
      <w:r w:rsidR="00447C12">
        <w:rPr>
          <w:rFonts w:cs="Times New Roman"/>
          <w:szCs w:val="28"/>
          <w:lang w:val="uk-UA"/>
        </w:rPr>
        <w:t xml:space="preserve"> </w:t>
      </w:r>
      <w:r w:rsidRPr="001B62BF">
        <w:rPr>
          <w:rFonts w:cs="Times New Roman"/>
          <w:szCs w:val="28"/>
          <w:lang w:val="uk-UA"/>
        </w:rPr>
        <w:t>суми доходів, нарахованих такому платникові податку у вигляді заробітної плати, а також суми наданої податкової соціальної пільги</w:t>
      </w:r>
      <w:r w:rsidR="00250989">
        <w:rPr>
          <w:rFonts w:cs="Times New Roman"/>
          <w:szCs w:val="28"/>
          <w:lang w:val="uk-UA"/>
        </w:rPr>
        <w:t>.</w:t>
      </w:r>
    </w:p>
    <w:p w:rsidR="001B62BF" w:rsidRPr="001B62BF" w:rsidRDefault="001B62BF" w:rsidP="001B62BF">
      <w:pPr>
        <w:jc w:val="both"/>
        <w:rPr>
          <w:rFonts w:cs="Times New Roman"/>
          <w:szCs w:val="28"/>
          <w:lang w:val="uk-UA"/>
        </w:rPr>
      </w:pPr>
      <w:r w:rsidRPr="001B62BF">
        <w:rPr>
          <w:rFonts w:cs="Times New Roman"/>
          <w:szCs w:val="28"/>
          <w:lang w:val="uk-UA"/>
        </w:rPr>
        <w:t>Якщо внаслідок проведення остаточного розрахунку з платником податку, який припиняє трудові відносини з роботодавцем, виникає сума недоплати, що перевищує суму оподаткованого доходу</w:t>
      </w:r>
      <w:r w:rsidR="00250989">
        <w:rPr>
          <w:rFonts w:cs="Times New Roman"/>
          <w:szCs w:val="28"/>
          <w:lang w:val="uk-UA"/>
        </w:rPr>
        <w:t xml:space="preserve"> </w:t>
      </w:r>
      <w:r w:rsidRPr="001B62BF">
        <w:rPr>
          <w:rFonts w:cs="Times New Roman"/>
          <w:szCs w:val="28"/>
          <w:lang w:val="uk-UA"/>
        </w:rPr>
        <w:t>платника податку за останній звітний період, то непогашена частина</w:t>
      </w:r>
      <w:r w:rsidR="00250989">
        <w:rPr>
          <w:rFonts w:cs="Times New Roman"/>
          <w:szCs w:val="28"/>
          <w:lang w:val="uk-UA"/>
        </w:rPr>
        <w:t xml:space="preserve"> </w:t>
      </w:r>
      <w:r w:rsidRPr="001B62BF">
        <w:rPr>
          <w:rFonts w:cs="Times New Roman"/>
          <w:szCs w:val="28"/>
          <w:lang w:val="uk-UA"/>
        </w:rPr>
        <w:t>такої недоплати включається до складу податкового зобов’язання</w:t>
      </w:r>
      <w:r w:rsidR="00250989">
        <w:rPr>
          <w:rFonts w:cs="Times New Roman"/>
          <w:szCs w:val="28"/>
          <w:lang w:val="uk-UA"/>
        </w:rPr>
        <w:t xml:space="preserve"> </w:t>
      </w:r>
      <w:r w:rsidRPr="001B62BF">
        <w:rPr>
          <w:rFonts w:cs="Times New Roman"/>
          <w:szCs w:val="28"/>
          <w:lang w:val="uk-UA"/>
        </w:rPr>
        <w:t>платника податку за наслідками звітного податкового року та сплачується самим платником.</w:t>
      </w:r>
    </w:p>
    <w:p w:rsidR="001B62BF" w:rsidRPr="001B62BF" w:rsidRDefault="00250989" w:rsidP="001B62BF">
      <w:pPr>
        <w:jc w:val="both"/>
        <w:rPr>
          <w:rFonts w:cs="Times New Roman"/>
          <w:szCs w:val="28"/>
          <w:lang w:val="uk-UA"/>
        </w:rPr>
      </w:pPr>
      <w:r>
        <w:rPr>
          <w:rFonts w:cs="Times New Roman"/>
          <w:szCs w:val="28"/>
          <w:lang w:val="uk-UA"/>
        </w:rPr>
        <w:t>Н</w:t>
      </w:r>
      <w:r w:rsidR="001B62BF" w:rsidRPr="001B62BF">
        <w:rPr>
          <w:rFonts w:cs="Times New Roman"/>
          <w:szCs w:val="28"/>
          <w:lang w:val="uk-UA"/>
        </w:rPr>
        <w:t>еобхідн</w:t>
      </w:r>
      <w:r>
        <w:rPr>
          <w:rFonts w:cs="Times New Roman"/>
          <w:szCs w:val="28"/>
          <w:lang w:val="uk-UA"/>
        </w:rPr>
        <w:t>а</w:t>
      </w:r>
      <w:r w:rsidR="001B62BF" w:rsidRPr="001B62BF">
        <w:rPr>
          <w:rFonts w:cs="Times New Roman"/>
          <w:szCs w:val="28"/>
          <w:lang w:val="uk-UA"/>
        </w:rPr>
        <w:t xml:space="preserve"> підвищен</w:t>
      </w:r>
      <w:r>
        <w:rPr>
          <w:rFonts w:cs="Times New Roman"/>
          <w:szCs w:val="28"/>
          <w:lang w:val="uk-UA"/>
        </w:rPr>
        <w:t>а</w:t>
      </w:r>
      <w:r w:rsidR="001B62BF" w:rsidRPr="001B62BF">
        <w:rPr>
          <w:rFonts w:cs="Times New Roman"/>
          <w:szCs w:val="28"/>
          <w:lang w:val="uk-UA"/>
        </w:rPr>
        <w:t xml:space="preserve"> уваг</w:t>
      </w:r>
      <w:r>
        <w:rPr>
          <w:rFonts w:cs="Times New Roman"/>
          <w:szCs w:val="28"/>
          <w:lang w:val="uk-UA"/>
        </w:rPr>
        <w:t>а</w:t>
      </w:r>
      <w:r w:rsidR="001B62BF" w:rsidRPr="001B62BF">
        <w:rPr>
          <w:rFonts w:cs="Times New Roman"/>
          <w:szCs w:val="28"/>
          <w:lang w:val="uk-UA"/>
        </w:rPr>
        <w:t xml:space="preserve"> до оподаткування таких</w:t>
      </w:r>
      <w:r>
        <w:rPr>
          <w:rFonts w:cs="Times New Roman"/>
          <w:szCs w:val="28"/>
          <w:lang w:val="uk-UA"/>
        </w:rPr>
        <w:t xml:space="preserve"> </w:t>
      </w:r>
      <w:r w:rsidR="001B62BF" w:rsidRPr="001B62BF">
        <w:rPr>
          <w:rFonts w:cs="Times New Roman"/>
          <w:szCs w:val="28"/>
          <w:lang w:val="uk-UA"/>
        </w:rPr>
        <w:t>видів доходу:</w:t>
      </w:r>
    </w:p>
    <w:p w:rsidR="001B62BF" w:rsidRPr="001B62BF" w:rsidRDefault="001B62BF" w:rsidP="001B62BF">
      <w:pPr>
        <w:jc w:val="both"/>
        <w:rPr>
          <w:rFonts w:cs="Times New Roman"/>
          <w:szCs w:val="28"/>
          <w:lang w:val="uk-UA"/>
        </w:rPr>
      </w:pPr>
      <w:r w:rsidRPr="001B62BF">
        <w:rPr>
          <w:rFonts w:cs="Times New Roman"/>
          <w:szCs w:val="28"/>
          <w:lang w:val="uk-UA"/>
        </w:rPr>
        <w:t>– від надання нерухомості в оренду;</w:t>
      </w:r>
    </w:p>
    <w:p w:rsidR="001B62BF" w:rsidRPr="001B62BF" w:rsidRDefault="001B62BF" w:rsidP="001B62BF">
      <w:pPr>
        <w:jc w:val="both"/>
        <w:rPr>
          <w:rFonts w:cs="Times New Roman"/>
          <w:szCs w:val="28"/>
          <w:lang w:val="uk-UA"/>
        </w:rPr>
      </w:pPr>
      <w:r w:rsidRPr="001B62BF">
        <w:rPr>
          <w:rFonts w:cs="Times New Roman"/>
          <w:szCs w:val="28"/>
          <w:lang w:val="uk-UA"/>
        </w:rPr>
        <w:t>– процентів;</w:t>
      </w:r>
    </w:p>
    <w:p w:rsidR="001B62BF" w:rsidRPr="001B62BF" w:rsidRDefault="001B62BF" w:rsidP="001B62BF">
      <w:pPr>
        <w:jc w:val="both"/>
        <w:rPr>
          <w:rFonts w:cs="Times New Roman"/>
          <w:szCs w:val="28"/>
          <w:lang w:val="uk-UA"/>
        </w:rPr>
      </w:pPr>
      <w:r w:rsidRPr="001B62BF">
        <w:rPr>
          <w:rFonts w:cs="Times New Roman"/>
          <w:szCs w:val="28"/>
          <w:lang w:val="uk-UA"/>
        </w:rPr>
        <w:t>– дивідендів (та роялті) та особливо оподаткування суми надміру</w:t>
      </w:r>
      <w:r w:rsidR="00250989">
        <w:rPr>
          <w:rFonts w:cs="Times New Roman"/>
          <w:szCs w:val="28"/>
          <w:lang w:val="uk-UA"/>
        </w:rPr>
        <w:t xml:space="preserve"> </w:t>
      </w:r>
      <w:r w:rsidRPr="001B62BF">
        <w:rPr>
          <w:rFonts w:cs="Times New Roman"/>
          <w:szCs w:val="28"/>
          <w:lang w:val="uk-UA"/>
        </w:rPr>
        <w:t>витрачених коштів, отриманих платником податку на відрядження або під звіт, не повернутої у встановлений термін.</w:t>
      </w:r>
    </w:p>
    <w:p w:rsidR="001B62BF" w:rsidRPr="001B62BF" w:rsidRDefault="001B62BF" w:rsidP="001B62BF">
      <w:pPr>
        <w:jc w:val="both"/>
        <w:rPr>
          <w:rFonts w:cs="Times New Roman"/>
          <w:szCs w:val="28"/>
          <w:lang w:val="uk-UA"/>
        </w:rPr>
      </w:pPr>
      <w:r w:rsidRPr="001B62BF">
        <w:rPr>
          <w:rFonts w:cs="Times New Roman"/>
          <w:szCs w:val="28"/>
          <w:lang w:val="uk-UA"/>
        </w:rPr>
        <w:t>До складу аудиторської документації входять: програма перевірки,</w:t>
      </w:r>
      <w:r w:rsidR="00250989">
        <w:rPr>
          <w:rFonts w:cs="Times New Roman"/>
          <w:szCs w:val="28"/>
          <w:lang w:val="uk-UA"/>
        </w:rPr>
        <w:t xml:space="preserve"> </w:t>
      </w:r>
      <w:r w:rsidRPr="001B62BF">
        <w:rPr>
          <w:rFonts w:cs="Times New Roman"/>
          <w:szCs w:val="28"/>
          <w:lang w:val="uk-UA"/>
        </w:rPr>
        <w:t>результати виконаних процедур, резюме з важливих питань, контрольні переліки, листування стосовно значущих питань, меморандум з конкретних питань.</w:t>
      </w:r>
    </w:p>
    <w:p w:rsidR="001B62BF" w:rsidRPr="001B62BF" w:rsidRDefault="001B62BF" w:rsidP="001B62BF">
      <w:pPr>
        <w:jc w:val="both"/>
        <w:rPr>
          <w:rFonts w:cs="Times New Roman"/>
          <w:szCs w:val="28"/>
          <w:lang w:val="uk-UA"/>
        </w:rPr>
      </w:pPr>
      <w:r w:rsidRPr="001B62BF">
        <w:rPr>
          <w:rFonts w:cs="Times New Roman"/>
          <w:szCs w:val="28"/>
          <w:lang w:val="uk-UA"/>
        </w:rPr>
        <w:t>Для цілей перевірки аудитору достатньо керуватися МСА № 230</w:t>
      </w:r>
      <w:r w:rsidR="00250989">
        <w:rPr>
          <w:rFonts w:cs="Times New Roman"/>
          <w:szCs w:val="28"/>
          <w:lang w:val="uk-UA"/>
        </w:rPr>
        <w:t xml:space="preserve"> «</w:t>
      </w:r>
      <w:r w:rsidRPr="001B62BF">
        <w:rPr>
          <w:rFonts w:cs="Times New Roman"/>
          <w:szCs w:val="28"/>
          <w:lang w:val="uk-UA"/>
        </w:rPr>
        <w:t>Аудиторська документація</w:t>
      </w:r>
      <w:r w:rsidR="00250989">
        <w:rPr>
          <w:rFonts w:cs="Times New Roman"/>
          <w:szCs w:val="28"/>
          <w:lang w:val="uk-UA"/>
        </w:rPr>
        <w:t>»</w:t>
      </w:r>
      <w:r w:rsidRPr="001B62BF">
        <w:rPr>
          <w:rFonts w:cs="Times New Roman"/>
          <w:szCs w:val="28"/>
          <w:lang w:val="uk-UA"/>
        </w:rPr>
        <w:t xml:space="preserve"> в обсязі вимог останнього, доречних до</w:t>
      </w:r>
      <w:r w:rsidR="00250989">
        <w:rPr>
          <w:rFonts w:cs="Times New Roman"/>
          <w:szCs w:val="28"/>
          <w:lang w:val="uk-UA"/>
        </w:rPr>
        <w:t xml:space="preserve"> </w:t>
      </w:r>
      <w:r w:rsidRPr="001B62BF">
        <w:rPr>
          <w:rFonts w:cs="Times New Roman"/>
          <w:szCs w:val="28"/>
          <w:lang w:val="uk-UA"/>
        </w:rPr>
        <w:t>специфіки перевірки форми № 1ДФ.</w:t>
      </w:r>
    </w:p>
    <w:p w:rsidR="001B62BF" w:rsidRPr="001B62BF" w:rsidRDefault="001B62BF" w:rsidP="001B62BF">
      <w:pPr>
        <w:jc w:val="both"/>
        <w:rPr>
          <w:rFonts w:cs="Times New Roman"/>
          <w:szCs w:val="28"/>
          <w:lang w:val="uk-UA"/>
        </w:rPr>
      </w:pPr>
      <w:r w:rsidRPr="001B62BF">
        <w:rPr>
          <w:rFonts w:cs="Times New Roman"/>
          <w:szCs w:val="28"/>
          <w:lang w:val="uk-UA"/>
        </w:rPr>
        <w:lastRenderedPageBreak/>
        <w:t>Аудитор повинен скласти аудиторську документацію таким чином, щоб досвідчений інший аудитор, який не мав попереднього відношення до перевірки, зміг зрозуміти характер, час та обсяги аудиторських процедур, їх результати, значущі питання, які виникли під</w:t>
      </w:r>
      <w:r w:rsidR="00250989">
        <w:rPr>
          <w:rFonts w:cs="Times New Roman"/>
          <w:szCs w:val="28"/>
          <w:lang w:val="uk-UA"/>
        </w:rPr>
        <w:t xml:space="preserve"> </w:t>
      </w:r>
      <w:r w:rsidRPr="001B62BF">
        <w:rPr>
          <w:rFonts w:cs="Times New Roman"/>
          <w:szCs w:val="28"/>
          <w:lang w:val="uk-UA"/>
        </w:rPr>
        <w:t>час перевірки та висновки, яких дійшов теперішній аудитор стосовно цих питань.</w:t>
      </w:r>
    </w:p>
    <w:sectPr w:rsidR="001B62BF" w:rsidRPr="001B62BF" w:rsidSect="00E70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62BF"/>
    <w:rsid w:val="001B62BF"/>
    <w:rsid w:val="00250989"/>
    <w:rsid w:val="0029200F"/>
    <w:rsid w:val="00447C12"/>
    <w:rsid w:val="00483764"/>
    <w:rsid w:val="00E7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BD7A"/>
  <w15:docId w15:val="{4CDA6029-1A8E-4634-A5B6-35932D81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5652</Words>
  <Characters>3222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2</cp:revision>
  <dcterms:created xsi:type="dcterms:W3CDTF">2020-10-15T08:37:00Z</dcterms:created>
  <dcterms:modified xsi:type="dcterms:W3CDTF">2023-10-29T20:58:00Z</dcterms:modified>
</cp:coreProperties>
</file>