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A56" w:rsidRDefault="00CD6A56" w:rsidP="00CD6A56">
      <w:pPr>
        <w:ind w:firstLine="0"/>
        <w:jc w:val="center"/>
        <w:rPr>
          <w:b/>
          <w:sz w:val="32"/>
          <w:szCs w:val="32"/>
          <w:lang w:val="uk-UA"/>
        </w:rPr>
      </w:pPr>
      <w:r>
        <w:rPr>
          <w:b/>
          <w:sz w:val="32"/>
          <w:szCs w:val="32"/>
          <w:lang w:val="uk-UA"/>
        </w:rPr>
        <w:t>Тема 7. Аудит ресурсних податків</w:t>
      </w:r>
    </w:p>
    <w:p w:rsidR="00CD6A56" w:rsidRDefault="00CD6A56" w:rsidP="00CD6A56">
      <w:pPr>
        <w:jc w:val="center"/>
        <w:rPr>
          <w:rFonts w:cs="Times New Roman"/>
          <w:szCs w:val="28"/>
          <w:lang w:val="uk-UA"/>
        </w:rPr>
      </w:pPr>
      <w:r>
        <w:rPr>
          <w:rFonts w:cs="Times New Roman"/>
          <w:szCs w:val="28"/>
          <w:lang w:val="uk-UA"/>
        </w:rPr>
        <w:t>План</w:t>
      </w:r>
    </w:p>
    <w:p w:rsidR="00CD6A56" w:rsidRDefault="00CD6A56" w:rsidP="00CD6A56">
      <w:pPr>
        <w:jc w:val="both"/>
        <w:rPr>
          <w:rFonts w:cs="Times New Roman"/>
          <w:szCs w:val="28"/>
          <w:lang w:val="uk-UA"/>
        </w:rPr>
      </w:pPr>
      <w:r>
        <w:rPr>
          <w:rFonts w:cs="Times New Roman"/>
          <w:szCs w:val="28"/>
          <w:lang w:val="uk-UA"/>
        </w:rPr>
        <w:t>7.</w:t>
      </w:r>
      <w:r w:rsidR="007B3A86">
        <w:rPr>
          <w:rFonts w:cs="Times New Roman"/>
          <w:szCs w:val="28"/>
          <w:lang w:val="uk-UA"/>
        </w:rPr>
        <w:t>1</w:t>
      </w:r>
      <w:r>
        <w:rPr>
          <w:rFonts w:cs="Times New Roman"/>
          <w:szCs w:val="28"/>
          <w:lang w:val="uk-UA"/>
        </w:rPr>
        <w:t xml:space="preserve"> Методика аудиту збору за спеціальне використання лісових ресурсів </w:t>
      </w:r>
    </w:p>
    <w:p w:rsidR="00CD6A56" w:rsidRDefault="00CD6A56" w:rsidP="00CD6A56">
      <w:pPr>
        <w:jc w:val="both"/>
        <w:rPr>
          <w:rFonts w:cs="Times New Roman"/>
          <w:szCs w:val="28"/>
          <w:lang w:val="uk-UA"/>
        </w:rPr>
      </w:pPr>
      <w:r>
        <w:rPr>
          <w:rFonts w:cs="Times New Roman"/>
          <w:szCs w:val="28"/>
          <w:lang w:val="uk-UA"/>
        </w:rPr>
        <w:t>7.</w:t>
      </w:r>
      <w:r w:rsidR="007B3A86">
        <w:rPr>
          <w:rFonts w:cs="Times New Roman"/>
          <w:szCs w:val="28"/>
          <w:lang w:val="uk-UA"/>
        </w:rPr>
        <w:t>2</w:t>
      </w:r>
      <w:r>
        <w:rPr>
          <w:rFonts w:cs="Times New Roman"/>
          <w:szCs w:val="28"/>
          <w:lang w:val="uk-UA"/>
        </w:rPr>
        <w:t xml:space="preserve"> Методика аудиту збору за спеціальне використання води</w:t>
      </w:r>
    </w:p>
    <w:p w:rsidR="00CD6A56" w:rsidRDefault="00CD6A56" w:rsidP="00CD6A56">
      <w:pPr>
        <w:jc w:val="both"/>
        <w:rPr>
          <w:rFonts w:cs="Times New Roman"/>
          <w:szCs w:val="28"/>
          <w:lang w:val="uk-UA"/>
        </w:rPr>
      </w:pPr>
      <w:r>
        <w:rPr>
          <w:rFonts w:cs="Times New Roman"/>
          <w:szCs w:val="28"/>
          <w:lang w:val="uk-UA"/>
        </w:rPr>
        <w:t>7.</w:t>
      </w:r>
      <w:r w:rsidR="007B3A86">
        <w:rPr>
          <w:rFonts w:cs="Times New Roman"/>
          <w:szCs w:val="28"/>
          <w:lang w:val="uk-UA"/>
        </w:rPr>
        <w:t>3</w:t>
      </w:r>
      <w:r>
        <w:rPr>
          <w:rFonts w:cs="Times New Roman"/>
          <w:szCs w:val="28"/>
          <w:lang w:val="uk-UA"/>
        </w:rPr>
        <w:t xml:space="preserve"> Методика аудиту екологічного податку</w:t>
      </w:r>
    </w:p>
    <w:p w:rsidR="00CD6A56" w:rsidRDefault="00CD6A56" w:rsidP="00CD6A56">
      <w:pPr>
        <w:jc w:val="both"/>
        <w:rPr>
          <w:rFonts w:cs="Times New Roman"/>
          <w:szCs w:val="28"/>
          <w:lang w:val="uk-UA"/>
        </w:rPr>
      </w:pPr>
    </w:p>
    <w:p w:rsidR="00CD6A56" w:rsidRDefault="00CD6A56" w:rsidP="00CD6A56">
      <w:pPr>
        <w:jc w:val="both"/>
        <w:rPr>
          <w:rFonts w:cs="Times New Roman"/>
          <w:szCs w:val="28"/>
          <w:lang w:val="uk-UA"/>
        </w:rPr>
      </w:pPr>
      <w:r>
        <w:rPr>
          <w:rFonts w:cs="Times New Roman"/>
          <w:b/>
          <w:szCs w:val="28"/>
          <w:lang w:val="uk-UA"/>
        </w:rPr>
        <w:t>7.</w:t>
      </w:r>
      <w:r w:rsidR="00005C59">
        <w:rPr>
          <w:rFonts w:cs="Times New Roman"/>
          <w:b/>
          <w:szCs w:val="28"/>
          <w:lang w:val="uk-UA"/>
        </w:rPr>
        <w:t>1</w:t>
      </w:r>
      <w:r>
        <w:rPr>
          <w:rFonts w:cs="Times New Roman"/>
          <w:b/>
          <w:szCs w:val="28"/>
          <w:lang w:val="uk-UA"/>
        </w:rPr>
        <w:t xml:space="preserve"> Методика аудиту збору за спеціальне використання лісових ресурсів</w:t>
      </w:r>
      <w:r>
        <w:rPr>
          <w:rFonts w:cs="Times New Roman"/>
          <w:szCs w:val="28"/>
          <w:lang w:val="uk-UA"/>
        </w:rPr>
        <w:t xml:space="preserve"> </w:t>
      </w:r>
    </w:p>
    <w:p w:rsidR="00CD6A56" w:rsidRDefault="00CD6A56" w:rsidP="00CD6A56">
      <w:pPr>
        <w:jc w:val="both"/>
        <w:rPr>
          <w:rFonts w:cs="Times New Roman"/>
          <w:szCs w:val="28"/>
          <w:lang w:val="uk-UA"/>
        </w:rPr>
      </w:pPr>
      <w:r>
        <w:rPr>
          <w:rFonts w:cs="Times New Roman"/>
          <w:szCs w:val="28"/>
          <w:lang w:val="uk-UA"/>
        </w:rPr>
        <w:t>Основними нормативними документами, які слід використовувати при проведенні аудиту збору за спеціальне використання лісових ресурсів, є:</w:t>
      </w:r>
    </w:p>
    <w:p w:rsidR="00CD6A56" w:rsidRDefault="00CD6A56" w:rsidP="00CD6A56">
      <w:pPr>
        <w:jc w:val="both"/>
        <w:rPr>
          <w:rFonts w:cs="Times New Roman"/>
          <w:szCs w:val="28"/>
          <w:lang w:val="uk-UA"/>
        </w:rPr>
      </w:pPr>
      <w:r>
        <w:rPr>
          <w:rFonts w:cs="Times New Roman"/>
          <w:szCs w:val="28"/>
          <w:lang w:val="uk-UA"/>
        </w:rPr>
        <w:t>1. Податковий кодекс України від 02.12.2010 № 2755-VII.</w:t>
      </w:r>
    </w:p>
    <w:p w:rsidR="00CD6A56" w:rsidRDefault="00CD6A56" w:rsidP="00CD6A56">
      <w:pPr>
        <w:jc w:val="both"/>
        <w:rPr>
          <w:rFonts w:cs="Times New Roman"/>
          <w:szCs w:val="28"/>
          <w:lang w:val="uk-UA"/>
        </w:rPr>
      </w:pPr>
      <w:r>
        <w:rPr>
          <w:rFonts w:cs="Times New Roman"/>
          <w:szCs w:val="28"/>
          <w:lang w:val="uk-UA"/>
        </w:rPr>
        <w:t>2. Лісовий кодекс України від 21.01.1994 № 3852-ХІІ.</w:t>
      </w:r>
    </w:p>
    <w:p w:rsidR="00CD6A56" w:rsidRDefault="00CD6A56" w:rsidP="00CD6A56">
      <w:pPr>
        <w:jc w:val="both"/>
        <w:rPr>
          <w:rFonts w:cs="Times New Roman"/>
          <w:szCs w:val="28"/>
          <w:lang w:val="uk-UA"/>
        </w:rPr>
      </w:pPr>
      <w:r>
        <w:rPr>
          <w:rFonts w:cs="Times New Roman"/>
          <w:szCs w:val="28"/>
          <w:lang w:val="uk-UA"/>
        </w:rPr>
        <w:t>3. Порядок спеціального використання лісових ресурсів, затверджений постановою Кабінету Міністрів України від 23.05.2007 № 761.</w:t>
      </w:r>
    </w:p>
    <w:p w:rsidR="00CD6A56" w:rsidRDefault="00CD6A56" w:rsidP="00CD6A56">
      <w:pPr>
        <w:jc w:val="both"/>
        <w:rPr>
          <w:rFonts w:cs="Times New Roman"/>
          <w:szCs w:val="28"/>
          <w:lang w:val="uk-UA"/>
        </w:rPr>
      </w:pPr>
      <w:r>
        <w:rPr>
          <w:rFonts w:cs="Times New Roman"/>
          <w:szCs w:val="28"/>
          <w:lang w:val="uk-UA"/>
        </w:rPr>
        <w:t>4. Порядок видачі спеціальних дозволів на використання лісових ресурсів, затверджений постановою Кабінету Міністрів України від 23.05.2007 № 761.</w:t>
      </w:r>
    </w:p>
    <w:p w:rsidR="00CD6A56" w:rsidRDefault="00CD6A56" w:rsidP="00CD6A56">
      <w:pPr>
        <w:jc w:val="both"/>
        <w:rPr>
          <w:rFonts w:cs="Times New Roman"/>
          <w:szCs w:val="28"/>
          <w:lang w:val="uk-UA"/>
        </w:rPr>
      </w:pPr>
      <w:r>
        <w:rPr>
          <w:rFonts w:cs="Times New Roman"/>
          <w:szCs w:val="28"/>
          <w:lang w:val="uk-UA"/>
        </w:rPr>
        <w:t>5. Правила рубок головного користування, затверджені наказом Державного комітету лісового господарства України від 23.12.2009 № 364.</w:t>
      </w:r>
    </w:p>
    <w:p w:rsidR="00CD6A56" w:rsidRDefault="00CD6A56" w:rsidP="00CD6A56">
      <w:pPr>
        <w:jc w:val="both"/>
        <w:rPr>
          <w:rFonts w:cs="Times New Roman"/>
          <w:szCs w:val="28"/>
          <w:lang w:val="uk-UA"/>
        </w:rPr>
      </w:pPr>
      <w:r>
        <w:rPr>
          <w:rFonts w:cs="Times New Roman"/>
          <w:szCs w:val="28"/>
          <w:lang w:val="uk-UA"/>
        </w:rPr>
        <w:t>6. Правила поліпшення якісного складу лісів, затверджені постановою Кабінету Міністрів України від 12.05.2007 № 724.</w:t>
      </w:r>
    </w:p>
    <w:p w:rsidR="00CD6A56" w:rsidRDefault="00CD6A56" w:rsidP="00CD6A56">
      <w:pPr>
        <w:jc w:val="both"/>
        <w:rPr>
          <w:rFonts w:cs="Times New Roman"/>
          <w:szCs w:val="28"/>
          <w:lang w:val="uk-UA"/>
        </w:rPr>
      </w:pPr>
      <w:r>
        <w:rPr>
          <w:rFonts w:cs="Times New Roman"/>
          <w:szCs w:val="28"/>
          <w:lang w:val="uk-UA"/>
        </w:rPr>
        <w:t>7. Наказ Міністерства фінансів України «Про затвердження форми Податкової декларації з рентної плати» від 17.08.2015 № 719.</w:t>
      </w:r>
    </w:p>
    <w:p w:rsidR="00CD6A56" w:rsidRDefault="00CD6A56" w:rsidP="00CD6A56">
      <w:pPr>
        <w:jc w:val="both"/>
        <w:rPr>
          <w:rFonts w:cs="Times New Roman"/>
          <w:szCs w:val="28"/>
          <w:lang w:val="uk-UA"/>
        </w:rPr>
      </w:pPr>
      <w:r>
        <w:rPr>
          <w:rFonts w:cs="Times New Roman"/>
          <w:szCs w:val="28"/>
          <w:lang w:val="uk-UA"/>
        </w:rPr>
        <w:t xml:space="preserve">8. Рішення Верховної Ради Автономної Республіки Крим, обласних, міських, селищних та сільських рад щодо ставок збору за заготівлю другорядних лісових матеріалів, здійснення побічних лісових </w:t>
      </w:r>
      <w:proofErr w:type="spellStart"/>
      <w:r>
        <w:rPr>
          <w:rFonts w:cs="Times New Roman"/>
          <w:szCs w:val="28"/>
          <w:lang w:val="uk-UA"/>
        </w:rPr>
        <w:t>користувань</w:t>
      </w:r>
      <w:proofErr w:type="spellEnd"/>
      <w:r>
        <w:rPr>
          <w:rFonts w:cs="Times New Roman"/>
          <w:szCs w:val="28"/>
          <w:lang w:val="uk-UA"/>
        </w:rPr>
        <w:t xml:space="preserve"> та використання корисних властивостей лісів.</w:t>
      </w:r>
    </w:p>
    <w:p w:rsidR="00CD6A56" w:rsidRDefault="00CD6A56" w:rsidP="00CD6A56">
      <w:pPr>
        <w:jc w:val="both"/>
        <w:rPr>
          <w:rFonts w:cs="Times New Roman"/>
          <w:szCs w:val="28"/>
          <w:lang w:val="uk-UA"/>
        </w:rPr>
      </w:pPr>
      <w:r>
        <w:rPr>
          <w:rFonts w:cs="Times New Roman"/>
          <w:szCs w:val="28"/>
          <w:lang w:val="uk-UA"/>
        </w:rPr>
        <w:t xml:space="preserve">Особливістю проведення перевірки збору за спеціальне використання лісових ресурсів є те, що до механізму його нарахування та сплати залучені </w:t>
      </w:r>
      <w:r>
        <w:rPr>
          <w:rFonts w:cs="Times New Roman"/>
          <w:szCs w:val="28"/>
          <w:lang w:val="uk-UA"/>
        </w:rPr>
        <w:lastRenderedPageBreak/>
        <w:t>не лише лісокористувачі, а й «суб’єкти лісових відносин», які видають спеціальні дозволи на заготівлю деревини в порядку рубок головного користування (органи виконавчої влади з питань лісового господарства Автономної Республіки Крим, територіальні органи центрального органу виконавчої влади з питань лісового господарства) та спеціальні дозволи на інші види спеціального використання лісових ресурсів (власники лісів або постійні лісокористувачі), обчислюють суму збору та в обов’язковому порядку зазначають у таких дозволах (лісорубних та лісових квитках), щоквартально подають перелік лісокористувачів, яким у визначеному порядку видано лісорубний або лісовий квитки. До обов’язків лісокористувачів віднесено необхідність подачі податкового розрахунку збору та його сплата в повному обсязі за всю дозволену для заготівлі кількість деревини та інші види спеціального використання лісових ресурсів.</w:t>
      </w:r>
    </w:p>
    <w:p w:rsidR="00CD6A56" w:rsidRDefault="00CD6A56" w:rsidP="00CD6A56">
      <w:pPr>
        <w:jc w:val="both"/>
        <w:rPr>
          <w:rFonts w:cs="Times New Roman"/>
          <w:szCs w:val="28"/>
          <w:lang w:val="uk-UA"/>
        </w:rPr>
      </w:pPr>
      <w:r>
        <w:rPr>
          <w:rFonts w:cs="Times New Roman"/>
          <w:szCs w:val="28"/>
          <w:lang w:val="uk-UA"/>
        </w:rPr>
        <w:t xml:space="preserve">Перевіряючи розрахунок суми збору за спеціальне використання лісових ресурсів, слід упевнитися у правильному визначенні ставок збору. При заготівлі деревини основних та неосновних порід такі ставки встановлено у гривнях за один щільний кубічний метр деревини окремо для ділової (без кори) та дров’яної (з корою) у розрізі лісових порід за першим і другим поясом, а також у розрізі 1–5 розрядів окремо для великої, середньої та дрібної деревини. Зменшені ставки збору встановлені за </w:t>
      </w:r>
      <w:proofErr w:type="spellStart"/>
      <w:r>
        <w:rPr>
          <w:rFonts w:cs="Times New Roman"/>
          <w:szCs w:val="28"/>
          <w:lang w:val="uk-UA"/>
        </w:rPr>
        <w:t>ліквід</w:t>
      </w:r>
      <w:proofErr w:type="spellEnd"/>
      <w:r>
        <w:rPr>
          <w:rFonts w:cs="Times New Roman"/>
          <w:szCs w:val="28"/>
          <w:lang w:val="uk-UA"/>
        </w:rPr>
        <w:t xml:space="preserve"> з крони (40% від загальної), за порубкові залишки, що підлягають використанню, і на деревину, заготовлену під час вибіркових рубок (20 % від загальної), на деревину, заготовлену під час заходів щодо поліпшення якісного складу лісів (50 % від загальної).</w:t>
      </w:r>
    </w:p>
    <w:p w:rsidR="00CD6A56" w:rsidRDefault="00CD6A56" w:rsidP="00CD6A56">
      <w:pPr>
        <w:jc w:val="both"/>
        <w:rPr>
          <w:rFonts w:cs="Times New Roman"/>
          <w:szCs w:val="28"/>
          <w:lang w:val="uk-UA"/>
        </w:rPr>
      </w:pPr>
      <w:r>
        <w:rPr>
          <w:rFonts w:cs="Times New Roman"/>
          <w:szCs w:val="28"/>
          <w:lang w:val="uk-UA"/>
        </w:rPr>
        <w:t xml:space="preserve">Слід враховувати, що за заготівлю другорядних лісових матеріалів, здійснення побічних лісових </w:t>
      </w:r>
      <w:proofErr w:type="spellStart"/>
      <w:r>
        <w:rPr>
          <w:rFonts w:cs="Times New Roman"/>
          <w:szCs w:val="28"/>
          <w:lang w:val="uk-UA"/>
        </w:rPr>
        <w:t>користувань</w:t>
      </w:r>
      <w:proofErr w:type="spellEnd"/>
      <w:r>
        <w:rPr>
          <w:rFonts w:cs="Times New Roman"/>
          <w:szCs w:val="28"/>
          <w:lang w:val="uk-UA"/>
        </w:rPr>
        <w:t xml:space="preserve"> та використання корисних властивостей лісів ставки встановлюються рішеннями обласними та міськими радами.</w:t>
      </w:r>
    </w:p>
    <w:p w:rsidR="00CD6A56" w:rsidRDefault="00CD6A56" w:rsidP="00CD6A56">
      <w:pPr>
        <w:jc w:val="both"/>
        <w:rPr>
          <w:rFonts w:cs="Times New Roman"/>
          <w:szCs w:val="28"/>
          <w:lang w:val="uk-UA"/>
        </w:rPr>
      </w:pPr>
      <w:r>
        <w:rPr>
          <w:rFonts w:cs="Times New Roman"/>
          <w:szCs w:val="28"/>
          <w:lang w:val="uk-UA"/>
        </w:rPr>
        <w:t xml:space="preserve">Незважаючи на те, що сума збору визначається заздалегідь при видачі дозволу, за фактом використання або заготівлі лісових ресурсів може </w:t>
      </w:r>
      <w:r>
        <w:rPr>
          <w:rFonts w:cs="Times New Roman"/>
          <w:szCs w:val="28"/>
          <w:lang w:val="uk-UA"/>
        </w:rPr>
        <w:lastRenderedPageBreak/>
        <w:t>виникати необхідність у його перерахунку, що має бути підтверджено актом огляду місць спеціального використання лісових ресурсів. Інші випадки необхідності перерахунку збору визначені ст. 333 ПКУ (виправлення технічних помилок, анулювання лісорубного або лісового квитка у зв’язку з вилученням земель для інших потреб, надання лісокористувачам відстрочки на заготівлю деревини, на вивезення, при додатковому продовженні строку вивезення).</w:t>
      </w:r>
    </w:p>
    <w:p w:rsidR="00CD6A56" w:rsidRDefault="00CD6A56" w:rsidP="00CD6A56">
      <w:pPr>
        <w:jc w:val="both"/>
        <w:rPr>
          <w:rFonts w:cs="Times New Roman"/>
          <w:szCs w:val="28"/>
          <w:lang w:val="uk-UA"/>
        </w:rPr>
      </w:pPr>
      <w:r>
        <w:rPr>
          <w:rFonts w:cs="Times New Roman"/>
          <w:szCs w:val="28"/>
          <w:lang w:val="uk-UA"/>
        </w:rPr>
        <w:t xml:space="preserve">Слід враховувати, що законодавством не передбачено зменшення суми збору у разі неповної заготівлі деревини або </w:t>
      </w:r>
      <w:proofErr w:type="spellStart"/>
      <w:r>
        <w:rPr>
          <w:rFonts w:cs="Times New Roman"/>
          <w:szCs w:val="28"/>
          <w:lang w:val="uk-UA"/>
        </w:rPr>
        <w:t>непроведення</w:t>
      </w:r>
      <w:proofErr w:type="spellEnd"/>
      <w:r>
        <w:rPr>
          <w:rFonts w:cs="Times New Roman"/>
          <w:szCs w:val="28"/>
          <w:lang w:val="uk-UA"/>
        </w:rPr>
        <w:t xml:space="preserve"> її взагалі, тому такі лісокористувачі збір обчислюють та сплачують повністю за дозволену для заготівлі кількість деревини, що зазначена в дозволі. Здійснюючи перевірку правильності застосування ставок збору, варто мати на увазі, що оскільки вони встановлені у вартісному розмірі, то згідно з п. 29.2 ст. 29 ПКУ підлягають щорічній індексації, яка має здійснюватися на підставі проекту закону про внесення змін до ПКУ з урахуванням індексів споживчих цін та індексів цін виробників промислової продукції, який щороку до 1 червня вноситиметься Кабінетом Міністрів України до Верховної Ради України.</w:t>
      </w:r>
    </w:p>
    <w:p w:rsidR="00CD6A56" w:rsidRDefault="00CD6A56" w:rsidP="00CD6A56">
      <w:pPr>
        <w:jc w:val="both"/>
        <w:rPr>
          <w:rFonts w:cs="Times New Roman"/>
          <w:szCs w:val="28"/>
          <w:lang w:val="uk-UA"/>
        </w:rPr>
      </w:pPr>
      <w:r>
        <w:rPr>
          <w:rFonts w:cs="Times New Roman"/>
          <w:szCs w:val="28"/>
          <w:lang w:val="uk-UA"/>
        </w:rPr>
        <w:t>Типовими помилками при нарахуванні та сплаті збору за спеціальне використання лісових ресурсів є:</w:t>
      </w:r>
    </w:p>
    <w:p w:rsidR="00CD6A56" w:rsidRDefault="00CD6A56" w:rsidP="00CD6A56">
      <w:pPr>
        <w:jc w:val="both"/>
        <w:rPr>
          <w:rFonts w:cs="Times New Roman"/>
          <w:szCs w:val="28"/>
          <w:lang w:val="uk-UA"/>
        </w:rPr>
      </w:pPr>
      <w:r>
        <w:rPr>
          <w:rFonts w:cs="Times New Roman"/>
          <w:szCs w:val="28"/>
          <w:lang w:val="uk-UA"/>
        </w:rPr>
        <w:t>– помилки при визначенні ставок збору залежно від якісних характеристик деревини, місць розташування заготівлі;</w:t>
      </w:r>
    </w:p>
    <w:p w:rsidR="00CD6A56" w:rsidRDefault="00CD6A56" w:rsidP="00CD6A56">
      <w:pPr>
        <w:jc w:val="both"/>
        <w:rPr>
          <w:rFonts w:cs="Times New Roman"/>
          <w:szCs w:val="28"/>
          <w:lang w:val="uk-UA"/>
        </w:rPr>
      </w:pPr>
      <w:r>
        <w:rPr>
          <w:rFonts w:cs="Times New Roman"/>
          <w:szCs w:val="28"/>
          <w:lang w:val="uk-UA"/>
        </w:rPr>
        <w:t>– порушення передбачених законодавством умов щодо перерахунку збору;</w:t>
      </w:r>
    </w:p>
    <w:p w:rsidR="00CD6A56" w:rsidRDefault="00CD6A56" w:rsidP="00CD6A56">
      <w:pPr>
        <w:jc w:val="both"/>
        <w:rPr>
          <w:rFonts w:cs="Times New Roman"/>
          <w:szCs w:val="28"/>
          <w:lang w:val="uk-UA"/>
        </w:rPr>
      </w:pPr>
      <w:r>
        <w:rPr>
          <w:rFonts w:cs="Times New Roman"/>
          <w:szCs w:val="28"/>
          <w:lang w:val="uk-UA"/>
        </w:rPr>
        <w:t xml:space="preserve">– </w:t>
      </w:r>
      <w:proofErr w:type="spellStart"/>
      <w:r>
        <w:rPr>
          <w:rFonts w:cs="Times New Roman"/>
          <w:szCs w:val="28"/>
          <w:lang w:val="uk-UA"/>
        </w:rPr>
        <w:t>неподача</w:t>
      </w:r>
      <w:proofErr w:type="spellEnd"/>
      <w:r>
        <w:rPr>
          <w:rFonts w:cs="Times New Roman"/>
          <w:szCs w:val="28"/>
          <w:lang w:val="uk-UA"/>
        </w:rPr>
        <w:t xml:space="preserve"> податкового розрахунку збору за спеціальне використання лісових ресурсів лісокористувачами, які отримали лісорубні та лісові квитки;</w:t>
      </w:r>
    </w:p>
    <w:p w:rsidR="00CD6A56" w:rsidRDefault="00CD6A56" w:rsidP="00CD6A56">
      <w:pPr>
        <w:jc w:val="both"/>
        <w:rPr>
          <w:rFonts w:cs="Times New Roman"/>
          <w:szCs w:val="28"/>
          <w:lang w:val="uk-UA"/>
        </w:rPr>
      </w:pPr>
      <w:r>
        <w:rPr>
          <w:rFonts w:cs="Times New Roman"/>
          <w:szCs w:val="28"/>
          <w:lang w:val="uk-UA"/>
        </w:rPr>
        <w:t>– порушення строків сплати збору та неправильний розподіл його величини за кварталами.</w:t>
      </w:r>
    </w:p>
    <w:p w:rsidR="00CD6A56" w:rsidRDefault="00CD6A56" w:rsidP="00CD6A56">
      <w:pPr>
        <w:jc w:val="both"/>
        <w:rPr>
          <w:rFonts w:cs="Times New Roman"/>
          <w:szCs w:val="28"/>
          <w:lang w:val="uk-UA"/>
        </w:rPr>
      </w:pPr>
    </w:p>
    <w:p w:rsidR="00CD6A56" w:rsidRDefault="00CD6A56" w:rsidP="00CD6A56">
      <w:pPr>
        <w:jc w:val="both"/>
        <w:rPr>
          <w:rFonts w:cs="Times New Roman"/>
          <w:b/>
          <w:szCs w:val="28"/>
          <w:lang w:val="uk-UA"/>
        </w:rPr>
      </w:pPr>
      <w:r>
        <w:rPr>
          <w:rFonts w:cs="Times New Roman"/>
          <w:b/>
          <w:szCs w:val="28"/>
          <w:lang w:val="uk-UA"/>
        </w:rPr>
        <w:t>7.</w:t>
      </w:r>
      <w:r w:rsidR="00005C59">
        <w:rPr>
          <w:rFonts w:cs="Times New Roman"/>
          <w:b/>
          <w:szCs w:val="28"/>
          <w:lang w:val="uk-UA"/>
        </w:rPr>
        <w:t>2</w:t>
      </w:r>
      <w:r>
        <w:rPr>
          <w:rFonts w:cs="Times New Roman"/>
          <w:b/>
          <w:szCs w:val="28"/>
          <w:lang w:val="uk-UA"/>
        </w:rPr>
        <w:t xml:space="preserve"> Методика аудиту збору за спеціальне використання води</w:t>
      </w:r>
    </w:p>
    <w:p w:rsidR="00CD6A56" w:rsidRDefault="00CD6A56" w:rsidP="00CD6A56">
      <w:pPr>
        <w:jc w:val="both"/>
        <w:rPr>
          <w:rFonts w:cs="Times New Roman"/>
          <w:szCs w:val="28"/>
          <w:lang w:val="uk-UA"/>
        </w:rPr>
      </w:pPr>
      <w:r>
        <w:rPr>
          <w:rFonts w:cs="Times New Roman"/>
          <w:szCs w:val="28"/>
          <w:lang w:val="uk-UA"/>
        </w:rPr>
        <w:lastRenderedPageBreak/>
        <w:t>Основними нормативними документами, які слід використовувати при проведенні аудиту збору за спеціальне використання води, є:</w:t>
      </w:r>
    </w:p>
    <w:p w:rsidR="00CD6A56" w:rsidRDefault="00CD6A56" w:rsidP="00CD6A56">
      <w:pPr>
        <w:jc w:val="both"/>
        <w:rPr>
          <w:rFonts w:cs="Times New Roman"/>
          <w:szCs w:val="28"/>
          <w:lang w:val="uk-UA"/>
        </w:rPr>
      </w:pPr>
      <w:r>
        <w:rPr>
          <w:rFonts w:cs="Times New Roman"/>
          <w:szCs w:val="28"/>
          <w:lang w:val="uk-UA"/>
        </w:rPr>
        <w:t>1. Податковий кодекс України від 02.12.2010 № 2755-VII.</w:t>
      </w:r>
    </w:p>
    <w:p w:rsidR="00CD6A56" w:rsidRDefault="00CD6A56" w:rsidP="00CD6A56">
      <w:pPr>
        <w:jc w:val="both"/>
        <w:rPr>
          <w:rFonts w:cs="Times New Roman"/>
          <w:szCs w:val="28"/>
          <w:lang w:val="uk-UA"/>
        </w:rPr>
      </w:pPr>
      <w:r>
        <w:rPr>
          <w:rFonts w:cs="Times New Roman"/>
          <w:szCs w:val="28"/>
          <w:lang w:val="uk-UA"/>
        </w:rPr>
        <w:t>2. Водний кодекс України, затверджений постановою Верховної</w:t>
      </w:r>
    </w:p>
    <w:p w:rsidR="00CD6A56" w:rsidRDefault="00CD6A56" w:rsidP="00CD6A56">
      <w:pPr>
        <w:jc w:val="both"/>
        <w:rPr>
          <w:rFonts w:cs="Times New Roman"/>
          <w:szCs w:val="28"/>
          <w:lang w:val="uk-UA"/>
        </w:rPr>
      </w:pPr>
      <w:r>
        <w:rPr>
          <w:rFonts w:cs="Times New Roman"/>
          <w:szCs w:val="28"/>
          <w:lang w:val="uk-UA"/>
        </w:rPr>
        <w:t>Ради України від 06.06.1995 № 214/95-ВР.</w:t>
      </w:r>
    </w:p>
    <w:p w:rsidR="00CD6A56" w:rsidRDefault="00CD6A56" w:rsidP="00CD6A56">
      <w:pPr>
        <w:jc w:val="both"/>
        <w:rPr>
          <w:rFonts w:cs="Times New Roman"/>
          <w:szCs w:val="28"/>
          <w:lang w:val="uk-UA"/>
        </w:rPr>
      </w:pPr>
      <w:r>
        <w:rPr>
          <w:rFonts w:cs="Times New Roman"/>
          <w:szCs w:val="28"/>
          <w:lang w:val="uk-UA"/>
        </w:rPr>
        <w:t>3. Наказ Міністерства фінансів України «Про затвердження форми Податкової декларації з рентної плати» від 17.08.2015 № 719.</w:t>
      </w:r>
    </w:p>
    <w:p w:rsidR="00CD6A56" w:rsidRDefault="00CD6A56" w:rsidP="00CD6A56">
      <w:pPr>
        <w:jc w:val="both"/>
        <w:rPr>
          <w:rFonts w:cs="Times New Roman"/>
          <w:szCs w:val="28"/>
          <w:lang w:val="uk-UA"/>
        </w:rPr>
      </w:pPr>
      <w:r>
        <w:rPr>
          <w:rFonts w:cs="Times New Roman"/>
          <w:szCs w:val="28"/>
          <w:lang w:val="uk-UA"/>
        </w:rPr>
        <w:t>Платниками податку є первинні та вторинні водокористувачі (до перших належать ті суб’єкти, які отримують воду шляхом забору води з водних ресурсів, до других – ті, які отримують воду від первинних або інших водокористувачів), а також ті суб’єкти господарювання, які використовують воду для потреб гідроенергетики, водного транспорту і рибництва (п. 323.1 ПКУ). Слід враховувати, що відповідно до п. 326.2 ПКУ за обсяги води, переданої водокористувачем – постачальником іншим водокористувачам без укладання останніми договору на поставку води, збір нараховується та сплачується таким водокористувачем-постачальником. Бюджетні установи виключені зі складу платників збору, але якщо вони використовують воду для господарської діяльності, спрямованої на отримання доходу, збір має сплачуватися на загальних підставах (п. 326.13 ПКУ).</w:t>
      </w:r>
    </w:p>
    <w:p w:rsidR="00CD6A56" w:rsidRDefault="00CD6A56" w:rsidP="00CD6A56">
      <w:pPr>
        <w:jc w:val="both"/>
        <w:rPr>
          <w:rFonts w:cs="Times New Roman"/>
          <w:szCs w:val="28"/>
          <w:lang w:val="uk-UA"/>
        </w:rPr>
      </w:pPr>
      <w:r>
        <w:rPr>
          <w:rFonts w:cs="Times New Roman"/>
          <w:szCs w:val="28"/>
          <w:lang w:val="uk-UA"/>
        </w:rPr>
        <w:t>При цьому тип джерела водопостачання, категорії якості води та глибина об’єкта, з якого забирається вода, не впливають на обов’язок сплати збору за спеціальне використання води суб’єкта господарювання, що здійснює використання води. Винятком є обсяги води, що використовуються для задоволення питних та санітарно-гігієнічних потреб населення.</w:t>
      </w:r>
    </w:p>
    <w:p w:rsidR="00CD6A56" w:rsidRDefault="00CD6A56" w:rsidP="00CD6A56">
      <w:pPr>
        <w:jc w:val="both"/>
        <w:rPr>
          <w:rFonts w:cs="Times New Roman"/>
          <w:szCs w:val="28"/>
          <w:lang w:val="uk-UA"/>
        </w:rPr>
      </w:pPr>
      <w:r>
        <w:rPr>
          <w:rFonts w:cs="Times New Roman"/>
          <w:szCs w:val="28"/>
          <w:lang w:val="uk-UA"/>
        </w:rPr>
        <w:t xml:space="preserve">Здійснюючи аудит збору за спеціальне використання води аудитор повинен враховувати таку особливість адміністрування цього податку: основою для розрахунку збору є дозволи на спеціальне використання водних ресурсів, договори на поставку води, а органи, які здійснюють видачу таких дозволів, та водокористувачі, які здійснюють постачання води іншим водокористувачам, щороку до 20 січня подають відповідну інформацію про </w:t>
      </w:r>
      <w:r>
        <w:rPr>
          <w:rFonts w:cs="Times New Roman"/>
          <w:szCs w:val="28"/>
          <w:lang w:val="uk-UA"/>
        </w:rPr>
        <w:lastRenderedPageBreak/>
        <w:t xml:space="preserve">первинних водокористувачів та водокористувачів – абонентів до органів податкової служби (п. 326.12 ПКУ). Основну увагу аудитор повинен приділити перевірці об’єкта та бази оподаткування, ставок податку, </w:t>
      </w:r>
      <w:proofErr w:type="spellStart"/>
      <w:r>
        <w:rPr>
          <w:rFonts w:cs="Times New Roman"/>
          <w:szCs w:val="28"/>
          <w:lang w:val="uk-UA"/>
        </w:rPr>
        <w:t>коригуючих</w:t>
      </w:r>
      <w:proofErr w:type="spellEnd"/>
      <w:r>
        <w:rPr>
          <w:rFonts w:cs="Times New Roman"/>
          <w:szCs w:val="28"/>
          <w:lang w:val="uk-UA"/>
        </w:rPr>
        <w:t xml:space="preserve"> коефіцієнтів, порядку розрахунку збору, порядку заповнення та подання податкової звітності. Для цього аудитор досліджує механізм визначення фактичних обсягів використаної води, перевіряє дані первинного обліку та технологічні дані, перевіряє наявність встановленого ліміту використання води та фактичні обсяги. За порушення умов використання водних ресурсів встановлено доволі жорсткі заходи відповідальності. За відсутності вимірювальних приладів, якщо можливість їх встановлення існує, збір сплачується у двократному розмірі, за перевищення водокористувачами встановленого річного ліміту використання води збір обчислюється і сплачується у п’ятикратному розмірі за фактичні обсяги використаної води понад встановлений ліміт, а за відсутності у водокористувача дозволу на спеціальне використання води із встановленими лімітами використання води – у п’ятикратному розмірі за всі обсяги використаної води.</w:t>
      </w:r>
    </w:p>
    <w:p w:rsidR="00CD6A56" w:rsidRDefault="00CD6A56" w:rsidP="00CD6A56">
      <w:pPr>
        <w:jc w:val="both"/>
        <w:rPr>
          <w:rFonts w:cs="Times New Roman"/>
          <w:szCs w:val="28"/>
          <w:lang w:val="uk-UA"/>
        </w:rPr>
      </w:pPr>
      <w:r>
        <w:rPr>
          <w:rFonts w:cs="Times New Roman"/>
          <w:szCs w:val="28"/>
          <w:lang w:val="uk-UA"/>
        </w:rPr>
        <w:t>Здійснюючи перевірку правильності застосування ставок збору, слід враховувати, що оскільки вони встановлені у вартісному розмірі, то згідно з п. 29.2 ст. 29 ПКУ підлягають щорічній індексації, яка має здійснюватися на підставі проекту закону про внесення змін до ПКУ з урахуванням індексів споживчих цін та індексів цін виробників промислової продукції, який щороку до 1 червня подаватиметься Кабінетом Міністрів України на розгляд Верховної Ради України.</w:t>
      </w:r>
    </w:p>
    <w:p w:rsidR="00CD6A56" w:rsidRDefault="00CD6A56" w:rsidP="00CD6A56">
      <w:pPr>
        <w:jc w:val="both"/>
        <w:rPr>
          <w:rFonts w:cs="Times New Roman"/>
          <w:szCs w:val="28"/>
          <w:lang w:val="uk-UA"/>
        </w:rPr>
      </w:pPr>
      <w:r>
        <w:rPr>
          <w:rFonts w:cs="Times New Roman"/>
          <w:szCs w:val="28"/>
          <w:lang w:val="uk-UA"/>
        </w:rPr>
        <w:t>Типовими помилками при нарахуванні та сплаті збору за спеціальне використання води є:</w:t>
      </w:r>
    </w:p>
    <w:p w:rsidR="00CD6A56" w:rsidRDefault="00CD6A56" w:rsidP="00CD6A56">
      <w:pPr>
        <w:jc w:val="both"/>
        <w:rPr>
          <w:rFonts w:cs="Times New Roman"/>
          <w:szCs w:val="28"/>
          <w:lang w:val="uk-UA"/>
        </w:rPr>
      </w:pPr>
      <w:r>
        <w:rPr>
          <w:rFonts w:cs="Times New Roman"/>
          <w:szCs w:val="28"/>
          <w:lang w:val="uk-UA"/>
        </w:rPr>
        <w:t>– помилки у визначенні видів діяльностей, за яких використовуються водні ресурси, при здійсненні яких збір не стягується;</w:t>
      </w:r>
    </w:p>
    <w:p w:rsidR="00CD6A56" w:rsidRDefault="00CD6A56" w:rsidP="00CD6A56">
      <w:pPr>
        <w:jc w:val="both"/>
        <w:rPr>
          <w:rFonts w:cs="Times New Roman"/>
          <w:szCs w:val="28"/>
          <w:lang w:val="uk-UA"/>
        </w:rPr>
      </w:pPr>
      <w:r>
        <w:rPr>
          <w:rFonts w:cs="Times New Roman"/>
          <w:szCs w:val="28"/>
          <w:lang w:val="uk-UA"/>
        </w:rPr>
        <w:t xml:space="preserve">– помилки при визначенні ставки збору та </w:t>
      </w:r>
      <w:proofErr w:type="spellStart"/>
      <w:r>
        <w:rPr>
          <w:rFonts w:cs="Times New Roman"/>
          <w:szCs w:val="28"/>
          <w:lang w:val="uk-UA"/>
        </w:rPr>
        <w:t>коригуючих</w:t>
      </w:r>
      <w:proofErr w:type="spellEnd"/>
      <w:r>
        <w:rPr>
          <w:rFonts w:cs="Times New Roman"/>
          <w:szCs w:val="28"/>
          <w:lang w:val="uk-UA"/>
        </w:rPr>
        <w:t xml:space="preserve"> коефіцієнтів залежно від характеристик фінансово-господарської діяльності та виду використаної води; – порушення у веденні первинного обліку обсягів </w:t>
      </w:r>
      <w:r>
        <w:rPr>
          <w:rFonts w:cs="Times New Roman"/>
          <w:szCs w:val="28"/>
          <w:lang w:val="uk-UA"/>
        </w:rPr>
        <w:lastRenderedPageBreak/>
        <w:t>фактично використаної води в умовах використання приладів обліку та при застосуванні технологічних даних;</w:t>
      </w:r>
    </w:p>
    <w:p w:rsidR="00CD6A56" w:rsidRDefault="00CD6A56" w:rsidP="00CD6A56">
      <w:pPr>
        <w:jc w:val="both"/>
        <w:rPr>
          <w:rFonts w:cs="Times New Roman"/>
          <w:szCs w:val="28"/>
          <w:lang w:val="uk-UA"/>
        </w:rPr>
      </w:pPr>
      <w:r>
        <w:rPr>
          <w:rFonts w:cs="Times New Roman"/>
          <w:szCs w:val="28"/>
          <w:lang w:val="uk-UA"/>
        </w:rPr>
        <w:t>– сплата збору за звичайними ставками за наявності можливостей для встановлення вимірювальних приладів, при понадлімітному використанні води та за відсутності дозволів на спеціальне водокористування.</w:t>
      </w:r>
    </w:p>
    <w:p w:rsidR="00CD6A56" w:rsidRDefault="00CD6A56" w:rsidP="00CD6A56">
      <w:pPr>
        <w:jc w:val="both"/>
        <w:rPr>
          <w:rFonts w:cs="Times New Roman"/>
          <w:szCs w:val="28"/>
          <w:lang w:val="uk-UA"/>
        </w:rPr>
      </w:pPr>
    </w:p>
    <w:p w:rsidR="00CD6A56" w:rsidRDefault="00CD6A56" w:rsidP="00CD6A56">
      <w:pPr>
        <w:jc w:val="both"/>
        <w:rPr>
          <w:rFonts w:cs="Times New Roman"/>
          <w:b/>
          <w:szCs w:val="28"/>
          <w:lang w:val="uk-UA"/>
        </w:rPr>
      </w:pPr>
      <w:r>
        <w:rPr>
          <w:rFonts w:cs="Times New Roman"/>
          <w:b/>
          <w:szCs w:val="28"/>
          <w:lang w:val="uk-UA"/>
        </w:rPr>
        <w:t>7.</w:t>
      </w:r>
      <w:r w:rsidR="00005C59">
        <w:rPr>
          <w:rFonts w:cs="Times New Roman"/>
          <w:b/>
          <w:szCs w:val="28"/>
          <w:lang w:val="uk-UA"/>
        </w:rPr>
        <w:t>3</w:t>
      </w:r>
      <w:r>
        <w:rPr>
          <w:rFonts w:cs="Times New Roman"/>
          <w:b/>
          <w:szCs w:val="28"/>
          <w:lang w:val="uk-UA"/>
        </w:rPr>
        <w:t xml:space="preserve"> Методика аудиту екологічного податку</w:t>
      </w:r>
    </w:p>
    <w:p w:rsidR="00CD6A56" w:rsidRDefault="00CD6A56" w:rsidP="00CD6A56">
      <w:pPr>
        <w:jc w:val="both"/>
        <w:rPr>
          <w:rFonts w:cs="Times New Roman"/>
          <w:szCs w:val="28"/>
          <w:lang w:val="uk-UA"/>
        </w:rPr>
      </w:pPr>
      <w:r>
        <w:rPr>
          <w:rFonts w:cs="Times New Roman"/>
          <w:szCs w:val="28"/>
          <w:lang w:val="uk-UA"/>
        </w:rPr>
        <w:t>Основними нормативними документами, які слід використовувати при проведенні аудиту екологічного податку, є:</w:t>
      </w:r>
    </w:p>
    <w:p w:rsidR="00CD6A56" w:rsidRDefault="00CD6A56" w:rsidP="00CD6A56">
      <w:pPr>
        <w:jc w:val="both"/>
        <w:rPr>
          <w:rFonts w:cs="Times New Roman"/>
          <w:szCs w:val="28"/>
          <w:lang w:val="uk-UA"/>
        </w:rPr>
      </w:pPr>
      <w:r>
        <w:rPr>
          <w:rFonts w:cs="Times New Roman"/>
          <w:szCs w:val="28"/>
          <w:lang w:val="uk-UA"/>
        </w:rPr>
        <w:t>1. Податковий кодекс України від 02.12.2010 № 2755-VII.</w:t>
      </w:r>
    </w:p>
    <w:p w:rsidR="00CD6A56" w:rsidRDefault="00CD6A56" w:rsidP="00CD6A56">
      <w:pPr>
        <w:jc w:val="both"/>
        <w:rPr>
          <w:rFonts w:cs="Times New Roman"/>
          <w:szCs w:val="28"/>
          <w:lang w:val="uk-UA"/>
        </w:rPr>
      </w:pPr>
      <w:r>
        <w:rPr>
          <w:rFonts w:cs="Times New Roman"/>
          <w:szCs w:val="28"/>
          <w:lang w:val="uk-UA"/>
        </w:rPr>
        <w:t>2. Наказ Міністерства фінансів України «Про затвердження форми Податкової декларації екологічного податку» від 17.08.2015 № 715.</w:t>
      </w:r>
    </w:p>
    <w:p w:rsidR="00CD6A56" w:rsidRDefault="00CD6A56" w:rsidP="00CD6A56">
      <w:pPr>
        <w:jc w:val="both"/>
        <w:rPr>
          <w:rFonts w:cs="Times New Roman"/>
          <w:szCs w:val="28"/>
          <w:lang w:val="uk-UA"/>
        </w:rPr>
      </w:pPr>
      <w:r>
        <w:rPr>
          <w:rFonts w:cs="Times New Roman"/>
          <w:szCs w:val="28"/>
          <w:lang w:val="uk-UA"/>
        </w:rPr>
        <w:t xml:space="preserve">3. Постанова Кабінету Міністрів України «Про затвердження </w:t>
      </w:r>
      <w:r>
        <w:rPr>
          <w:bCs/>
          <w:szCs w:val="28"/>
          <w:shd w:val="clear" w:color="auto" w:fill="FFFFFF"/>
          <w:lang w:val="uk-UA"/>
        </w:rPr>
        <w:t>Порядку подання декларації про відходи та її форми»</w:t>
      </w:r>
      <w:r>
        <w:rPr>
          <w:rFonts w:cs="Times New Roman"/>
          <w:szCs w:val="28"/>
          <w:lang w:val="uk-UA"/>
        </w:rPr>
        <w:t xml:space="preserve"> від 18.02.2016 № 118.</w:t>
      </w:r>
    </w:p>
    <w:p w:rsidR="00CD6A56" w:rsidRDefault="00CD6A56" w:rsidP="00CD6A56">
      <w:pPr>
        <w:jc w:val="both"/>
        <w:rPr>
          <w:rFonts w:cs="Times New Roman"/>
          <w:szCs w:val="28"/>
          <w:lang w:val="uk-UA"/>
        </w:rPr>
      </w:pPr>
      <w:r>
        <w:rPr>
          <w:rFonts w:cs="Times New Roman"/>
          <w:szCs w:val="28"/>
          <w:lang w:val="uk-UA"/>
        </w:rPr>
        <w:t>Діяльність, при здійсненні якої виникає необхідність сплати екологічного податку, жорстко контролюється органами виконавчої влади з питань охорони навколишнього середовища та територіальними органами центрального органу виконавчої влади у сфері використання ядерної енергії, забезпечення додержання вимог ядерної та радіаційної безпеки і вимагає отримання необхідних дозволів та ліцензій. Зазначені органи виконавчої влади зобов’язані подавати до органів державної податкової служби переліки підприємств, установ, організацій, фізичних осіб-підприємців, яким дозволено таку діяльність, що полегшує процес адміністрування екологічного податку.</w:t>
      </w:r>
    </w:p>
    <w:p w:rsidR="00CD6A56" w:rsidRDefault="00CD6A56" w:rsidP="00CD6A56">
      <w:pPr>
        <w:jc w:val="both"/>
        <w:rPr>
          <w:rFonts w:cs="Times New Roman"/>
          <w:szCs w:val="28"/>
          <w:lang w:val="uk-UA"/>
        </w:rPr>
      </w:pPr>
      <w:r>
        <w:rPr>
          <w:rFonts w:cs="Times New Roman"/>
          <w:szCs w:val="28"/>
          <w:lang w:val="uk-UA"/>
        </w:rPr>
        <w:t>Платниками податку є суб’єкти, під час провадження діяльності яких здійснюються: викиди забруднюючих речовин стаціонарними джерелами забруднення, скидання забруднюючих речовин у водні об’єкти, розміщення відходів, утворення радіоактивних відходів та їх тимчасове зберігання, викиди забруднюючих речовин пересувними джерелами забруднення у разі використання ними палива. суб’єкти господарювання, які:</w:t>
      </w:r>
    </w:p>
    <w:p w:rsidR="00CD6A56" w:rsidRDefault="00CD6A56" w:rsidP="00CD6A56">
      <w:pPr>
        <w:jc w:val="both"/>
        <w:rPr>
          <w:rFonts w:cs="Times New Roman"/>
          <w:szCs w:val="28"/>
          <w:lang w:val="uk-UA"/>
        </w:rPr>
      </w:pPr>
      <w:r>
        <w:rPr>
          <w:rFonts w:cs="Times New Roman"/>
          <w:szCs w:val="28"/>
          <w:lang w:val="uk-UA"/>
        </w:rPr>
        <w:lastRenderedPageBreak/>
        <w:t>– здійснюють торгівлю на митній території України паливом власного виробництва та/або передають замовнику або за його дорученням іншій особі паливо, вироблене з давальницької сировини такого замовника;</w:t>
      </w:r>
    </w:p>
    <w:p w:rsidR="00CD6A56" w:rsidRDefault="00CD6A56" w:rsidP="00CD6A56">
      <w:pPr>
        <w:jc w:val="both"/>
        <w:rPr>
          <w:rFonts w:cs="Times New Roman"/>
          <w:szCs w:val="28"/>
          <w:lang w:val="uk-UA"/>
        </w:rPr>
      </w:pPr>
      <w:r>
        <w:rPr>
          <w:rFonts w:cs="Times New Roman"/>
          <w:szCs w:val="28"/>
          <w:lang w:val="uk-UA"/>
        </w:rPr>
        <w:t>– здійснюють ввезення палива на митну територію України. Такі податкові агенти утримують і сплачують екологічний податок під час реалізації такого палива, інші платники включають екологічний податок до складу витрат.</w:t>
      </w:r>
    </w:p>
    <w:p w:rsidR="00CD6A56" w:rsidRDefault="00CD6A56" w:rsidP="00CD6A56">
      <w:pPr>
        <w:jc w:val="both"/>
        <w:rPr>
          <w:rFonts w:cs="Times New Roman"/>
          <w:szCs w:val="28"/>
          <w:lang w:val="uk-UA"/>
        </w:rPr>
      </w:pPr>
      <w:r>
        <w:rPr>
          <w:rFonts w:cs="Times New Roman"/>
          <w:szCs w:val="28"/>
          <w:lang w:val="uk-UA"/>
        </w:rPr>
        <w:t xml:space="preserve">Основну увагу аудитор повинен приділити перевірці об’єкта та бази оподаткування, ставок податку, порядку заповнення та подання Податкової декларації з екологічного податку. Для цього аудитор досліджує механізм визначення обсягів об’єктів оподаткування, перевіряє правильність застосованих ставок та </w:t>
      </w:r>
      <w:proofErr w:type="spellStart"/>
      <w:r>
        <w:rPr>
          <w:rFonts w:cs="Times New Roman"/>
          <w:szCs w:val="28"/>
          <w:lang w:val="uk-UA"/>
        </w:rPr>
        <w:t>коригуючих</w:t>
      </w:r>
      <w:proofErr w:type="spellEnd"/>
      <w:r>
        <w:rPr>
          <w:rFonts w:cs="Times New Roman"/>
          <w:szCs w:val="28"/>
          <w:lang w:val="uk-UA"/>
        </w:rPr>
        <w:t xml:space="preserve"> коефіцієнтів при розрахунку сум екологічного податку.</w:t>
      </w:r>
    </w:p>
    <w:p w:rsidR="00CD6A56" w:rsidRDefault="00CD6A56" w:rsidP="00CD6A56">
      <w:pPr>
        <w:jc w:val="both"/>
        <w:rPr>
          <w:rFonts w:cs="Times New Roman"/>
          <w:szCs w:val="28"/>
          <w:lang w:val="uk-UA"/>
        </w:rPr>
      </w:pPr>
      <w:r>
        <w:rPr>
          <w:rFonts w:cs="Times New Roman"/>
          <w:szCs w:val="28"/>
          <w:lang w:val="uk-UA"/>
        </w:rPr>
        <w:t>Особливістю механізму адміністрування екологічного податку є</w:t>
      </w:r>
    </w:p>
    <w:p w:rsidR="00CD6A56" w:rsidRDefault="00CD6A56" w:rsidP="00CD6A56">
      <w:pPr>
        <w:jc w:val="both"/>
        <w:rPr>
          <w:rFonts w:cs="Times New Roman"/>
          <w:szCs w:val="28"/>
          <w:lang w:val="uk-UA"/>
        </w:rPr>
      </w:pPr>
      <w:r>
        <w:rPr>
          <w:rFonts w:cs="Times New Roman"/>
          <w:szCs w:val="28"/>
          <w:lang w:val="uk-UA"/>
        </w:rPr>
        <w:t>встановлення переліку місць подачі податкової декларації та необхідності подачі декількох податкових декларацій у разі наявності кількох стаціонарних джерел забруднення або спеціально відведених для розміщення відходів місць чи об’єктів у межах кількох населених пунктів або за їх межами. Тому аудитор повинен ознайомитися з місцем розташування суб’єкта та його потужностей для того, щоб перевірити правильність подачі податкових декларацій та сплати податку. Типовими помилками при нарахуванні та сплаті екологічного податку є:</w:t>
      </w:r>
    </w:p>
    <w:p w:rsidR="00CD6A56" w:rsidRDefault="00CD6A56" w:rsidP="00CD6A56">
      <w:pPr>
        <w:jc w:val="both"/>
        <w:rPr>
          <w:rFonts w:cs="Times New Roman"/>
          <w:szCs w:val="28"/>
          <w:lang w:val="uk-UA"/>
        </w:rPr>
      </w:pPr>
      <w:r>
        <w:rPr>
          <w:rFonts w:cs="Times New Roman"/>
          <w:szCs w:val="28"/>
          <w:lang w:val="uk-UA"/>
        </w:rPr>
        <w:t>– помилки у визначенні обсягів об’єктів оподаткування екологічним податком;</w:t>
      </w:r>
    </w:p>
    <w:p w:rsidR="00CD6A56" w:rsidRDefault="00CD6A56" w:rsidP="00CD6A56">
      <w:pPr>
        <w:jc w:val="both"/>
        <w:rPr>
          <w:rFonts w:cs="Times New Roman"/>
          <w:szCs w:val="28"/>
          <w:lang w:val="uk-UA"/>
        </w:rPr>
      </w:pPr>
      <w:r>
        <w:rPr>
          <w:rFonts w:cs="Times New Roman"/>
          <w:szCs w:val="28"/>
          <w:lang w:val="uk-UA"/>
        </w:rPr>
        <w:t>– несплата екологічного податку при продажу бензину та дизпалива податковими агентами – суб’єктами господарювання, які здійснюють оптову та роздрібну торгівлю паливом;</w:t>
      </w:r>
    </w:p>
    <w:p w:rsidR="00CD6A56" w:rsidRDefault="00CD6A56" w:rsidP="00CD6A56">
      <w:pPr>
        <w:jc w:val="both"/>
        <w:rPr>
          <w:rFonts w:cs="Times New Roman"/>
          <w:szCs w:val="28"/>
          <w:lang w:val="uk-UA"/>
        </w:rPr>
      </w:pPr>
      <w:r>
        <w:rPr>
          <w:rFonts w:cs="Times New Roman"/>
          <w:szCs w:val="28"/>
          <w:lang w:val="uk-UA"/>
        </w:rPr>
        <w:t xml:space="preserve">– помилки при визначенні ставки збору та </w:t>
      </w:r>
      <w:proofErr w:type="spellStart"/>
      <w:r>
        <w:rPr>
          <w:rFonts w:cs="Times New Roman"/>
          <w:szCs w:val="28"/>
          <w:lang w:val="uk-UA"/>
        </w:rPr>
        <w:t>коригуючих</w:t>
      </w:r>
      <w:proofErr w:type="spellEnd"/>
      <w:r>
        <w:rPr>
          <w:rFonts w:cs="Times New Roman"/>
          <w:szCs w:val="28"/>
          <w:lang w:val="uk-UA"/>
        </w:rPr>
        <w:t xml:space="preserve"> коефіцієнтів залежно від характеристик та виду об’єктів оподаткування екологічним податком;</w:t>
      </w:r>
    </w:p>
    <w:p w:rsidR="00CD6A56" w:rsidRDefault="00CD6A56" w:rsidP="00CD6A56">
      <w:pPr>
        <w:jc w:val="both"/>
        <w:rPr>
          <w:rFonts w:cs="Times New Roman"/>
          <w:szCs w:val="28"/>
          <w:lang w:val="uk-UA"/>
        </w:rPr>
      </w:pPr>
      <w:r>
        <w:rPr>
          <w:rFonts w:cs="Times New Roman"/>
          <w:szCs w:val="28"/>
          <w:lang w:val="uk-UA"/>
        </w:rPr>
        <w:lastRenderedPageBreak/>
        <w:t>– неправильне визначення місць подання податкових декларацій з екологічного податку та їх кількості залежно від місць розміщення та кількості стаціонарних джерел забруднення, спеціально відведених для цього місць чи об’єктів, місць перебування податкових агентів на податковому обліку.</w:t>
      </w:r>
    </w:p>
    <w:p w:rsidR="00CD6A56" w:rsidRDefault="00CD6A56" w:rsidP="00CD6A56">
      <w:pPr>
        <w:jc w:val="both"/>
        <w:rPr>
          <w:rFonts w:cs="Times New Roman"/>
          <w:szCs w:val="28"/>
          <w:lang w:val="uk-UA"/>
        </w:rPr>
      </w:pPr>
      <w:r>
        <w:rPr>
          <w:rFonts w:cs="Times New Roman"/>
          <w:szCs w:val="28"/>
          <w:lang w:val="uk-UA"/>
        </w:rPr>
        <w:br w:type="page"/>
      </w:r>
    </w:p>
    <w:p w:rsidR="00606697" w:rsidRPr="00CD6A56" w:rsidRDefault="00606697">
      <w:pPr>
        <w:rPr>
          <w:lang w:val="uk-UA"/>
        </w:rPr>
      </w:pPr>
    </w:p>
    <w:sectPr w:rsidR="00606697" w:rsidRPr="00CD6A56" w:rsidSect="006066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characterSpacingControl w:val="doNotCompress"/>
  <w:compat/>
  <w:rsids>
    <w:rsidRoot w:val="00CD6A56"/>
    <w:rsid w:val="00005C59"/>
    <w:rsid w:val="00606697"/>
    <w:rsid w:val="007B3A86"/>
    <w:rsid w:val="00CD6A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A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41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1959</Words>
  <Characters>11168</Characters>
  <Application>Microsoft Office Word</Application>
  <DocSecurity>0</DocSecurity>
  <Lines>93</Lines>
  <Paragraphs>26</Paragraphs>
  <ScaleCrop>false</ScaleCrop>
  <Company>Workgroup</Company>
  <LinksUpToDate>false</LinksUpToDate>
  <CharactersWithSpaces>13101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3</cp:revision>
  <dcterms:created xsi:type="dcterms:W3CDTF">2020-10-16T08:59:00Z</dcterms:created>
  <dcterms:modified xsi:type="dcterms:W3CDTF">2020-10-16T09:02:00Z</dcterms:modified>
</cp:coreProperties>
</file>