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6" w:rsidRPr="004905D4" w:rsidRDefault="004905D4" w:rsidP="00013836">
      <w:pPr>
        <w:jc w:val="center"/>
        <w:rPr>
          <w:b/>
          <w:bCs/>
        </w:rPr>
      </w:pPr>
      <w:r>
        <w:rPr>
          <w:b/>
          <w:bCs/>
          <w:caps/>
          <w:color w:val="000000"/>
          <w:sz w:val="28"/>
        </w:rPr>
        <w:t>КОНТРОЛЬ В ДЕРЖАВНОМУ СЕКТОРІ ЕКОНОМІКИ</w:t>
      </w:r>
    </w:p>
    <w:p w:rsidR="00013836" w:rsidRPr="006331B8" w:rsidRDefault="00013836" w:rsidP="00013836">
      <w:r w:rsidRPr="006331B8">
        <w:rPr>
          <w:b/>
        </w:rPr>
        <w:t>Викладач:</w:t>
      </w:r>
      <w:r w:rsidRPr="006331B8">
        <w:t xml:space="preserve"> к. </w:t>
      </w:r>
      <w:r>
        <w:t>е.н.</w:t>
      </w:r>
      <w:r w:rsidRPr="006331B8">
        <w:t xml:space="preserve">, доц. </w:t>
      </w:r>
      <w:r>
        <w:t>Олена Михайлівна Рибалко</w:t>
      </w:r>
    </w:p>
    <w:p w:rsidR="00013836" w:rsidRPr="006331B8" w:rsidRDefault="00013836" w:rsidP="00013836">
      <w:r w:rsidRPr="006331B8">
        <w:rPr>
          <w:b/>
        </w:rPr>
        <w:t xml:space="preserve">Кафедра: </w:t>
      </w:r>
      <w:r>
        <w:t>обліку та оподаткування</w:t>
      </w:r>
      <w:r w:rsidRPr="006331B8">
        <w:t xml:space="preserve">, </w:t>
      </w:r>
      <w:r>
        <w:t>5</w:t>
      </w:r>
      <w:r w:rsidRPr="006331B8">
        <w:t xml:space="preserve">й корп. ЗНУ, ауд. </w:t>
      </w:r>
      <w:r>
        <w:t>121</w:t>
      </w:r>
      <w:r w:rsidRPr="006331B8">
        <w:t xml:space="preserve"> (</w:t>
      </w:r>
      <w:r>
        <w:t>1</w:t>
      </w:r>
      <w:r w:rsidRPr="006331B8">
        <w:rPr>
          <w:vertAlign w:val="superscript"/>
        </w:rPr>
        <w:t xml:space="preserve">й </w:t>
      </w:r>
      <w:r w:rsidRPr="006331B8">
        <w:t>поверх)</w:t>
      </w:r>
    </w:p>
    <w:p w:rsidR="00013836" w:rsidRPr="006331B8" w:rsidRDefault="00013836" w:rsidP="00013836">
      <w:r w:rsidRPr="006331B8">
        <w:rPr>
          <w:b/>
        </w:rPr>
        <w:t xml:space="preserve">Email: </w:t>
      </w:r>
      <w:r>
        <w:t>nataliyarybalko</w:t>
      </w:r>
      <w:r w:rsidRPr="004321E0">
        <w:rPr>
          <w:lang w:val="ru-RU"/>
        </w:rPr>
        <w:t>90@</w:t>
      </w:r>
      <w:r>
        <w:t>gmail</w:t>
      </w:r>
      <w:r w:rsidRPr="004321E0">
        <w:rPr>
          <w:lang w:val="ru-RU"/>
        </w:rPr>
        <w:t>.</w:t>
      </w:r>
      <w:r>
        <w:t>com</w:t>
      </w:r>
    </w:p>
    <w:p w:rsidR="00013836" w:rsidRPr="006331B8" w:rsidRDefault="00013836" w:rsidP="00013836">
      <w:r w:rsidRPr="006331B8">
        <w:rPr>
          <w:b/>
        </w:rPr>
        <w:t>Телефон:</w:t>
      </w:r>
      <w:r w:rsidRPr="006331B8">
        <w:t xml:space="preserve"> (061) 2</w:t>
      </w:r>
      <w:r>
        <w:t>28</w:t>
      </w:r>
      <w:r w:rsidRPr="006331B8">
        <w:t>-</w:t>
      </w:r>
      <w:r>
        <w:t>76</w:t>
      </w:r>
      <w:r w:rsidRPr="006331B8">
        <w:t>-</w:t>
      </w:r>
      <w:r>
        <w:t>42</w:t>
      </w:r>
      <w:r w:rsidRPr="006331B8">
        <w:t xml:space="preserve"> (кафедра), 2</w:t>
      </w:r>
      <w:r>
        <w:t>28</w:t>
      </w:r>
      <w:r w:rsidRPr="006331B8">
        <w:t>-</w:t>
      </w:r>
      <w:r>
        <w:t>76</w:t>
      </w:r>
      <w:r w:rsidRPr="006331B8">
        <w:t>-</w:t>
      </w:r>
      <w:r>
        <w:t>49</w:t>
      </w:r>
      <w:r w:rsidRPr="006331B8">
        <w:t xml:space="preserve"> (деканат)</w:t>
      </w:r>
    </w:p>
    <w:p w:rsidR="00013836" w:rsidRPr="007B5979" w:rsidRDefault="00013836" w:rsidP="00013836">
      <w:pPr>
        <w:rPr>
          <w:i/>
          <w:iCs/>
        </w:rPr>
      </w:pPr>
      <w:r>
        <w:rPr>
          <w:b/>
          <w:bCs/>
        </w:rPr>
        <w:t>Інші засоби зв</w:t>
      </w:r>
      <w:r w:rsidRPr="00E42FA1">
        <w:rPr>
          <w:b/>
          <w:bCs/>
        </w:rPr>
        <w:t>’</w:t>
      </w:r>
      <w:r>
        <w:rPr>
          <w:b/>
          <w:bCs/>
        </w:rPr>
        <w:t xml:space="preserve">язку: </w:t>
      </w:r>
      <w:r>
        <w:rPr>
          <w:i/>
          <w:iCs/>
        </w:rPr>
        <w:t>Moodle (форум курсу, приватні повідомлення)</w:t>
      </w:r>
    </w:p>
    <w:p w:rsidR="00013836" w:rsidRPr="006331B8" w:rsidRDefault="00013836" w:rsidP="00013836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0"/>
        <w:gridCol w:w="596"/>
        <w:gridCol w:w="1275"/>
        <w:gridCol w:w="1276"/>
        <w:gridCol w:w="963"/>
        <w:gridCol w:w="709"/>
        <w:gridCol w:w="1178"/>
        <w:gridCol w:w="1544"/>
      </w:tblGrid>
      <w:tr w:rsidR="00013836" w:rsidRPr="004321E0" w:rsidTr="008C3FF2">
        <w:trPr>
          <w:trHeight w:val="239"/>
        </w:trPr>
        <w:tc>
          <w:tcPr>
            <w:tcW w:w="2836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013836" w:rsidRPr="006331B8" w:rsidRDefault="00013836" w:rsidP="008C3FF2">
            <w:pPr>
              <w:spacing w:after="20"/>
            </w:pPr>
            <w:r>
              <w:rPr>
                <w:bCs/>
              </w:rPr>
              <w:t xml:space="preserve">Облік і аудит; </w:t>
            </w:r>
            <w:r>
              <w:t>бакалавр</w:t>
            </w:r>
          </w:p>
        </w:tc>
      </w:tr>
      <w:tr w:rsidR="00013836" w:rsidRPr="006331B8" w:rsidTr="008C3FF2">
        <w:trPr>
          <w:trHeight w:val="239"/>
        </w:trPr>
        <w:tc>
          <w:tcPr>
            <w:tcW w:w="2836" w:type="dxa"/>
            <w:gridSpan w:val="2"/>
          </w:tcPr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013836" w:rsidRPr="006331B8" w:rsidRDefault="00013836" w:rsidP="008C3FF2">
            <w:pPr>
              <w:spacing w:after="20"/>
            </w:pPr>
            <w:r w:rsidRPr="006331B8">
              <w:t>Нормативна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Кредити ECTS</w:t>
            </w:r>
          </w:p>
        </w:tc>
        <w:tc>
          <w:tcPr>
            <w:tcW w:w="596" w:type="dxa"/>
          </w:tcPr>
          <w:p w:rsidR="00013836" w:rsidRPr="006331B8" w:rsidRDefault="00013836" w:rsidP="008C3FF2">
            <w:r>
              <w:t>4</w:t>
            </w:r>
          </w:p>
        </w:tc>
        <w:tc>
          <w:tcPr>
            <w:tcW w:w="1275" w:type="dxa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Навч. рік</w:t>
            </w:r>
          </w:p>
        </w:tc>
        <w:tc>
          <w:tcPr>
            <w:tcW w:w="1276" w:type="dxa"/>
          </w:tcPr>
          <w:p w:rsidR="00013836" w:rsidRPr="006331B8" w:rsidRDefault="00013836" w:rsidP="008C3FF2">
            <w:r w:rsidRPr="006331B8">
              <w:t xml:space="preserve">2020-2021 </w:t>
            </w:r>
            <w:r>
              <w:t>2</w:t>
            </w:r>
            <w:r w:rsidRPr="006331B8">
              <w:t xml:space="preserve"> семестр</w:t>
            </w:r>
          </w:p>
        </w:tc>
        <w:tc>
          <w:tcPr>
            <w:tcW w:w="1672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Рік навчання - 1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013836" w:rsidRPr="006331B8" w:rsidRDefault="00013836" w:rsidP="008C3FF2">
            <w:r w:rsidRPr="006331B8">
              <w:rPr>
                <w:b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013836" w:rsidRPr="006331B8" w:rsidRDefault="00013836" w:rsidP="008C3FF2">
            <w:r w:rsidRPr="006331B8">
              <w:t>1</w:t>
            </w:r>
            <w:r>
              <w:t>4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Кількість годин</w:t>
            </w:r>
          </w:p>
        </w:tc>
        <w:tc>
          <w:tcPr>
            <w:tcW w:w="596" w:type="dxa"/>
          </w:tcPr>
          <w:p w:rsidR="00013836" w:rsidRPr="006331B8" w:rsidRDefault="00013836" w:rsidP="008C3FF2">
            <w:r>
              <w:t>120</w:t>
            </w:r>
          </w:p>
        </w:tc>
        <w:tc>
          <w:tcPr>
            <w:tcW w:w="2551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Кількість змістових модулів</w:t>
            </w:r>
            <w:r w:rsidRPr="006331B8">
              <w:rPr>
                <w:rStyle w:val="a7"/>
                <w:b/>
              </w:rPr>
              <w:footnoteReference w:id="1"/>
            </w:r>
          </w:p>
        </w:tc>
        <w:tc>
          <w:tcPr>
            <w:tcW w:w="963" w:type="dxa"/>
          </w:tcPr>
          <w:p w:rsidR="00013836" w:rsidRPr="006331B8" w:rsidRDefault="00013836" w:rsidP="008C3F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1" w:type="dxa"/>
            <w:gridSpan w:val="3"/>
          </w:tcPr>
          <w:p w:rsidR="00013836" w:rsidRPr="006331B8" w:rsidRDefault="00013836" w:rsidP="008C3FF2">
            <w:pPr>
              <w:rPr>
                <w:i/>
                <w:iCs/>
              </w:rPr>
            </w:pPr>
            <w:r w:rsidRPr="006331B8">
              <w:rPr>
                <w:b/>
                <w:bCs/>
              </w:rPr>
              <w:t xml:space="preserve">Лекційні заняття– </w:t>
            </w:r>
            <w:r>
              <w:rPr>
                <w:b/>
                <w:bCs/>
              </w:rPr>
              <w:t>32</w:t>
            </w:r>
            <w:r w:rsidRPr="006331B8">
              <w:rPr>
                <w:b/>
                <w:bCs/>
              </w:rPr>
              <w:t xml:space="preserve"> год</w:t>
            </w:r>
          </w:p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 xml:space="preserve">Практичні заняття– </w:t>
            </w:r>
            <w:r>
              <w:rPr>
                <w:b/>
                <w:bCs/>
              </w:rPr>
              <w:t xml:space="preserve">32 </w:t>
            </w:r>
            <w:r w:rsidRPr="006331B8">
              <w:rPr>
                <w:b/>
                <w:bCs/>
              </w:rPr>
              <w:t>год</w:t>
            </w:r>
          </w:p>
          <w:p w:rsidR="00013836" w:rsidRPr="006331B8" w:rsidRDefault="00013836" w:rsidP="008C3FF2">
            <w:r w:rsidRPr="006331B8">
              <w:rPr>
                <w:b/>
                <w:bCs/>
              </w:rPr>
              <w:t>Самостійна робота –</w:t>
            </w:r>
            <w:r>
              <w:rPr>
                <w:b/>
              </w:rPr>
              <w:t>92</w:t>
            </w:r>
            <w:r w:rsidRPr="006331B8">
              <w:rPr>
                <w:b/>
              </w:rPr>
              <w:t xml:space="preserve"> год.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>Вид контролю</w:t>
            </w:r>
          </w:p>
        </w:tc>
        <w:tc>
          <w:tcPr>
            <w:tcW w:w="4110" w:type="dxa"/>
            <w:gridSpan w:val="4"/>
          </w:tcPr>
          <w:p w:rsidR="00013836" w:rsidRPr="004321E0" w:rsidRDefault="00013836" w:rsidP="008C3FF2">
            <w:r w:rsidRPr="004321E0">
              <w:t>Іспит</w:t>
            </w:r>
          </w:p>
        </w:tc>
        <w:tc>
          <w:tcPr>
            <w:tcW w:w="3431" w:type="dxa"/>
            <w:gridSpan w:val="3"/>
          </w:tcPr>
          <w:p w:rsidR="00013836" w:rsidRPr="006331B8" w:rsidRDefault="00013836" w:rsidP="008C3FF2">
            <w:pPr>
              <w:rPr>
                <w:b/>
                <w:bCs/>
              </w:rPr>
            </w:pPr>
          </w:p>
        </w:tc>
      </w:tr>
      <w:tr w:rsidR="00013836" w:rsidRPr="00332369" w:rsidTr="008C3FF2">
        <w:trPr>
          <w:trHeight w:val="250"/>
        </w:trPr>
        <w:tc>
          <w:tcPr>
            <w:tcW w:w="4111" w:type="dxa"/>
            <w:gridSpan w:val="3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Посилання на курс в Moodle</w:t>
            </w:r>
          </w:p>
        </w:tc>
        <w:tc>
          <w:tcPr>
            <w:tcW w:w="5670" w:type="dxa"/>
            <w:gridSpan w:val="5"/>
          </w:tcPr>
          <w:p w:rsidR="00013836" w:rsidRPr="004321E0" w:rsidRDefault="00013836" w:rsidP="006112BB">
            <w:r w:rsidRPr="004321E0">
              <w:t>https://moodle.znu.edu.ua/enrol/index.php?id=</w:t>
            </w:r>
            <w:r w:rsidR="006112BB" w:rsidRPr="006112BB">
              <w:t>1386</w:t>
            </w:r>
          </w:p>
        </w:tc>
      </w:tr>
      <w:tr w:rsidR="00013836" w:rsidRPr="00332369" w:rsidTr="008C3FF2">
        <w:trPr>
          <w:trHeight w:val="250"/>
        </w:trPr>
        <w:tc>
          <w:tcPr>
            <w:tcW w:w="4111" w:type="dxa"/>
            <w:gridSpan w:val="3"/>
          </w:tcPr>
          <w:p w:rsidR="00013836" w:rsidRPr="006331B8" w:rsidRDefault="00013836" w:rsidP="008C3FF2">
            <w:pPr>
              <w:rPr>
                <w:rStyle w:val="s1"/>
                <w:b/>
              </w:rPr>
            </w:pPr>
            <w:r w:rsidRPr="006331B8">
              <w:rPr>
                <w:b/>
                <w:iCs/>
              </w:rPr>
              <w:t>Консультації:</w:t>
            </w:r>
          </w:p>
          <w:p w:rsidR="00013836" w:rsidRPr="006331B8" w:rsidRDefault="00013836" w:rsidP="008C3FF2">
            <w:pPr>
              <w:rPr>
                <w:b/>
              </w:rPr>
            </w:pPr>
          </w:p>
        </w:tc>
        <w:tc>
          <w:tcPr>
            <w:tcW w:w="5670" w:type="dxa"/>
            <w:gridSpan w:val="5"/>
          </w:tcPr>
          <w:p w:rsidR="00013836" w:rsidRPr="006331B8" w:rsidRDefault="00013836" w:rsidP="008C3FF2">
            <w:r w:rsidRPr="004321E0">
              <w:rPr>
                <w:rStyle w:val="s1"/>
              </w:rPr>
              <w:t>щочетверга, 12.55-14.15</w:t>
            </w:r>
            <w:r w:rsidRPr="005D3580">
              <w:rPr>
                <w:rStyle w:val="s1"/>
              </w:rPr>
              <w:t xml:space="preserve"> або за домовленістю чи ел. поштою</w:t>
            </w:r>
          </w:p>
        </w:tc>
      </w:tr>
    </w:tbl>
    <w:p w:rsidR="006112BB" w:rsidRDefault="006112BB" w:rsidP="006112BB">
      <w:pPr>
        <w:jc w:val="center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Мета та завдання навчальної дисципліни</w:t>
      </w:r>
    </w:p>
    <w:p w:rsidR="006112BB" w:rsidRDefault="006112BB" w:rsidP="006112BB">
      <w:pPr>
        <w:widowControl w:val="0"/>
        <w:ind w:firstLine="709"/>
        <w:jc w:val="both"/>
      </w:pPr>
      <w:r>
        <w:rPr>
          <w:b/>
          <w:spacing w:val="-5"/>
        </w:rPr>
        <w:t xml:space="preserve">Мета вивчення навчального курсу: </w:t>
      </w:r>
      <w:r>
        <w:t>«</w:t>
      </w:r>
      <w:r w:rsidR="004905D4">
        <w:t>Контроль в державному секторі економіки</w:t>
      </w:r>
      <w:r>
        <w:t>» є ознайомлення та оволодіння студентами теоретичними  знаннями з правових й організаційних питань контрольної політики підприємств, галузей народного господарства та державної економіки в цілому, вивчити стадії контрольно-ревізійного процесу, права, обов’язки та відповідальність контролерів, ознайомитися з реалізацією результатів перевірки, а також навчитися застосовувати здобуті знання у майбутній професійній діяльності фахівцю в галузі фінансового контролю.</w:t>
      </w:r>
    </w:p>
    <w:p w:rsidR="006112BB" w:rsidRDefault="006112BB" w:rsidP="006112BB">
      <w:pPr>
        <w:pStyle w:val="2"/>
        <w:widowControl w:val="0"/>
        <w:tabs>
          <w:tab w:val="left" w:pos="6047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Основна мета дисципліни: засвоєння знань з методики проведення та узагальнення результатів документальної перевірки.</w:t>
      </w:r>
    </w:p>
    <w:p w:rsidR="006112BB" w:rsidRDefault="006112BB" w:rsidP="006112BB">
      <w:pPr>
        <w:pStyle w:val="a9"/>
        <w:widowControl w:val="0"/>
        <w:spacing w:after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Предмет: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механізм документального дослідження фінансово-господарської діяльності суб'єктів господарювання.</w:t>
      </w:r>
    </w:p>
    <w:p w:rsidR="006112BB" w:rsidRDefault="006112BB" w:rsidP="006112BB">
      <w:pPr>
        <w:pStyle w:val="a9"/>
        <w:widowControl w:val="0"/>
        <w:spacing w:after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Ефективним інструментом у боротьбі зі зловживаннями завжди був і залишається контроль, який науковці вважають однією із найважливіших функцій управління. Результативність контролю залежить насамперед від компетентності ревізорів та співробітників відділів Державної служби боротьби з економічною злочинністю. Така компетентність характеризуються певним володінням методикою контролю і професійним чуттям осіб, наділених повноваженням здійснювати цю функцію. У цьому виняткове значення мають досвід та логічний підхід, які формуються на базі оволодіння необхідним обсягом теоретичних знань, а також постійними практичними заняттями-тренінгами. Саме в такий спосіб ревізори (контролери) повинні здобувати професійну кваліфікацію, якою і визначатиметься рівень працівника, успішність його відповідальної роботи.</w:t>
      </w:r>
    </w:p>
    <w:p w:rsidR="006112BB" w:rsidRDefault="006112BB" w:rsidP="006112BB">
      <w:pPr>
        <w:widowControl w:val="0"/>
        <w:tabs>
          <w:tab w:val="left" w:pos="1843"/>
          <w:tab w:val="left" w:pos="3686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Курс передбачає тісний зв'язок з такими навчальними дисциплінами, як: </w:t>
      </w:r>
      <w:r>
        <w:t>«Бухгалтерський облік», «Аудит», «Основи права», «Ревізія і контроль», «Податковий облік», «Звітність підприємств», «Фінансовий облік»</w:t>
      </w:r>
      <w:r>
        <w:rPr>
          <w:snapToGrid w:val="0"/>
        </w:rPr>
        <w:t>.</w:t>
      </w:r>
    </w:p>
    <w:p w:rsidR="006112BB" w:rsidRDefault="006112BB" w:rsidP="006112BB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lang w:val="uk-UA"/>
        </w:rPr>
        <w:t>Основними завданнями</w:t>
      </w:r>
      <w:r>
        <w:rPr>
          <w:lang w:val="uk-UA"/>
        </w:rPr>
        <w:t>,  що мають бути вирішені у процесі викладання дисципліни, є: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засвоєння теоретичних положень, порядку організації і проведення документальної перевірки;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lastRenderedPageBreak/>
        <w:t>- опанування методичних прийомів документальної перевірки;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ознайомлення з роботою судово-слідчих правоохоронних органів;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навчитися визначати правильність документального оформлення господарських операцій на підприємстві;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документально обґрунтовувати розмір нестач або лишків за певний період часу і місце їх здійснювання;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визначати відповідності відображення в бухгалтерському обліку господарських операцій чинному законодавству;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підтвердження виявлених недоліків в організації бухгалтерського обліку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  <w:rPr>
          <w:rStyle w:val="FontStyle39"/>
          <w:b/>
          <w:sz w:val="24"/>
        </w:rPr>
      </w:pPr>
      <w:r>
        <w:rPr>
          <w:b/>
        </w:rPr>
        <w:t xml:space="preserve">За підсумками вивчення курсу студент повинен </w:t>
      </w:r>
      <w:r>
        <w:rPr>
          <w:b/>
          <w:i/>
        </w:rPr>
        <w:t>знати</w:t>
      </w:r>
      <w:r>
        <w:rPr>
          <w:b/>
        </w:rPr>
        <w:t xml:space="preserve">: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особливості бухгалтерського обліку і документального оформлення господарських операцій для використання цих даних для виявлення і розслідування злочину;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методи і прийоми, які використовуються працівниками правоохоронних органів під час виявлення злочинів у фінансово-господарській діяльності підприємств;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основні положення нормативних документів, які регламентують порядок призначення та проведення документальних ревізій та документальної перевірки.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Студент повинен </w:t>
      </w:r>
      <w:r>
        <w:rPr>
          <w:b/>
          <w:i/>
          <w:snapToGrid w:val="0"/>
        </w:rPr>
        <w:t>вміти</w:t>
      </w:r>
      <w:r>
        <w:rPr>
          <w:b/>
          <w:snapToGrid w:val="0"/>
        </w:rPr>
        <w:t xml:space="preserve">: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rPr>
          <w:snapToGrid w:val="0"/>
        </w:rPr>
        <w:t xml:space="preserve">- </w:t>
      </w:r>
      <w:r>
        <w:t>своєчасно і правильно призначати та використовувати такі методи практичного контролю за господарською діяльністю підприємств як інвентаризація, контрольний обмір, контрольна закупка, лабораторний аналіз тощо;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орієнтуватися в бухгалтерських документах і використовувати їх у процесі розслідування і перевірки фінансової діяльності підприємств, як доказ у скоєнні різних зловживань з фінансовими і матеріальними ресурсами;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проводити заходи, які б попереджували незаконне використання документів з метою здійснення розкрадання грошових коштів та матеріальних цінностей, та інших злочинів;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своєчасно і правильно призначати документальні ревізії фінансово-господарської діяльності підприємств та судово-бухгалтерські експертизи.</w:t>
      </w:r>
    </w:p>
    <w:p w:rsidR="006112BB" w:rsidRDefault="006112BB" w:rsidP="006112BB">
      <w:pPr>
        <w:widowControl w:val="0"/>
        <w:shd w:val="clear" w:color="auto" w:fill="FFFFFF"/>
        <w:ind w:firstLine="709"/>
        <w:jc w:val="both"/>
      </w:pPr>
      <w:r>
        <w:rPr>
          <w:snapToGrid w:val="0"/>
        </w:rPr>
        <w:t>Після вивчення курсу «</w:t>
      </w:r>
      <w:r>
        <w:t>Організація та методика документальної перевірки</w:t>
      </w:r>
      <w:r>
        <w:rPr>
          <w:snapToGrid w:val="0"/>
        </w:rPr>
        <w:t xml:space="preserve">» студент повинен володіти </w:t>
      </w:r>
      <w:r>
        <w:rPr>
          <w:color w:val="000000"/>
        </w:rPr>
        <w:t>теоретичними знаннями та практичними навичками з основ документальної перевірки: вміти проводити перевірку, формувати її результати.</w:t>
      </w:r>
    </w:p>
    <w:p w:rsidR="006112BB" w:rsidRDefault="006112BB" w:rsidP="006112BB">
      <w:pPr>
        <w:widowControl w:val="0"/>
        <w:tabs>
          <w:tab w:val="left" w:pos="709"/>
        </w:tabs>
        <w:ind w:firstLine="539"/>
        <w:jc w:val="both"/>
      </w:pPr>
    </w:p>
    <w:p w:rsidR="006112BB" w:rsidRDefault="006112BB" w:rsidP="006112BB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jc w:val="center"/>
        <w:rPr>
          <w:b/>
        </w:rPr>
      </w:pPr>
      <w:r>
        <w:rPr>
          <w:b/>
        </w:rPr>
        <w:t>Програма навчальної дисципліни</w:t>
      </w:r>
    </w:p>
    <w:p w:rsidR="006112BB" w:rsidRDefault="006112BB" w:rsidP="006112BB">
      <w:pPr>
        <w:widowControl w:val="0"/>
        <w:tabs>
          <w:tab w:val="left" w:pos="284"/>
          <w:tab w:val="left" w:pos="567"/>
        </w:tabs>
        <w:ind w:left="360"/>
        <w:jc w:val="center"/>
      </w:pPr>
    </w:p>
    <w:p w:rsidR="006112BB" w:rsidRDefault="006112BB" w:rsidP="006112BB">
      <w:pPr>
        <w:widowControl w:val="0"/>
        <w:rPr>
          <w:b/>
        </w:rPr>
      </w:pPr>
      <w:r>
        <w:rPr>
          <w:b/>
        </w:rPr>
        <w:t xml:space="preserve">Розділ І. </w:t>
      </w:r>
      <w:r>
        <w:t>Організація та стадії документальної перевірки</w:t>
      </w:r>
      <w:r>
        <w:rPr>
          <w:b/>
        </w:rPr>
        <w:t xml:space="preserve"> 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1.</w:t>
      </w:r>
      <w:r>
        <w:rPr>
          <w:i/>
        </w:rPr>
        <w:t xml:space="preserve"> </w:t>
      </w:r>
      <w:r>
        <w:rPr>
          <w:rStyle w:val="FontStyle11"/>
        </w:rPr>
        <w:t>Суть, предмет,методи та методичні прийоми 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0"/>
        </w:tabs>
        <w:spacing w:after="0"/>
        <w:jc w:val="both"/>
        <w:rPr>
          <w:i/>
          <w:sz w:val="24"/>
          <w:lang w:val="uk-UA"/>
        </w:rPr>
      </w:pPr>
      <w:r>
        <w:rPr>
          <w:b/>
          <w:sz w:val="24"/>
          <w:lang w:val="uk-UA"/>
        </w:rPr>
        <w:t>Тема 2.</w:t>
      </w:r>
      <w:r>
        <w:rPr>
          <w:rFonts w:ascii="TimesNewRomanPSMT" w:hAnsi="TimesNewRomanPSMT" w:cs="TimesNewRomanPSMT"/>
          <w:b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Планування та види </w:t>
      </w:r>
      <w:r>
        <w:rPr>
          <w:rStyle w:val="FontStyle11"/>
          <w:sz w:val="24"/>
          <w:lang w:val="uk-UA"/>
        </w:rPr>
        <w:t>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851"/>
        </w:tabs>
        <w:spacing w:after="0"/>
        <w:ind w:firstLine="29"/>
        <w:jc w:val="both"/>
        <w:rPr>
          <w:i/>
          <w:color w:val="000000"/>
          <w:sz w:val="24"/>
          <w:lang w:val="uk-UA"/>
        </w:rPr>
      </w:pPr>
      <w:r>
        <w:rPr>
          <w:b/>
          <w:sz w:val="24"/>
          <w:lang w:val="uk-UA"/>
        </w:rPr>
        <w:t>Тема 3.</w:t>
      </w:r>
      <w:r>
        <w:rPr>
          <w:rStyle w:val="FontStyle60"/>
          <w:sz w:val="24"/>
          <w:lang w:val="uk-UA"/>
        </w:rPr>
        <w:t>.</w:t>
      </w:r>
      <w:r>
        <w:rPr>
          <w:rStyle w:val="FontStyle28"/>
          <w:sz w:val="24"/>
          <w:lang w:val="uk-UA"/>
        </w:rPr>
        <w:t xml:space="preserve"> Методика і техніка перевірки облікової документації</w:t>
      </w:r>
      <w:r>
        <w:rPr>
          <w:sz w:val="24"/>
          <w:lang w:val="uk-UA"/>
        </w:rPr>
        <w:t>.</w:t>
      </w:r>
    </w:p>
    <w:p w:rsidR="006112BB" w:rsidRDefault="006112BB" w:rsidP="00611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Тема 4.</w:t>
      </w:r>
      <w:r>
        <w:rPr>
          <w:i/>
          <w:color w:val="000000"/>
        </w:rPr>
        <w:t xml:space="preserve"> </w:t>
      </w:r>
      <w:r>
        <w:rPr>
          <w:bCs/>
          <w:kern w:val="36"/>
          <w:lang w:eastAsia="uk-UA"/>
        </w:rPr>
        <w:t>Порядок оформлення результатів документальних перевірок</w:t>
      </w:r>
      <w:r>
        <w:t>.</w:t>
      </w:r>
    </w:p>
    <w:p w:rsidR="006112BB" w:rsidRDefault="006112BB" w:rsidP="006112BB">
      <w:pPr>
        <w:pStyle w:val="a9"/>
        <w:widowControl w:val="0"/>
        <w:spacing w:after="0"/>
        <w:jc w:val="both"/>
        <w:rPr>
          <w:bCs/>
          <w:sz w:val="24"/>
          <w:lang w:val="uk-UA"/>
        </w:rPr>
      </w:pPr>
      <w:r>
        <w:rPr>
          <w:b/>
          <w:sz w:val="24"/>
          <w:lang w:val="uk-UA"/>
        </w:rPr>
        <w:t>Розділ ІІ.</w:t>
      </w:r>
      <w:r>
        <w:rPr>
          <w:b/>
          <w:i/>
          <w:sz w:val="24"/>
          <w:lang w:val="uk-UA"/>
        </w:rPr>
        <w:t xml:space="preserve"> </w:t>
      </w:r>
      <w:r>
        <w:rPr>
          <w:sz w:val="24"/>
          <w:lang w:val="uk-UA"/>
        </w:rPr>
        <w:t>Узагальнення результатів 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6848"/>
        </w:tabs>
        <w:spacing w:after="0"/>
        <w:jc w:val="both"/>
        <w:outlineLvl w:val="0"/>
        <w:rPr>
          <w:sz w:val="24"/>
          <w:lang w:val="uk-UA"/>
        </w:rPr>
      </w:pPr>
      <w:r>
        <w:rPr>
          <w:b/>
          <w:sz w:val="24"/>
          <w:lang w:val="uk-UA"/>
        </w:rPr>
        <w:t>Тема 5.</w:t>
      </w:r>
      <w:r>
        <w:rPr>
          <w:i/>
          <w:sz w:val="24"/>
          <w:lang w:val="uk-UA"/>
        </w:rPr>
        <w:t xml:space="preserve"> </w:t>
      </w:r>
      <w:r>
        <w:rPr>
          <w:rStyle w:val="FontStyle65"/>
          <w:i w:val="0"/>
          <w:sz w:val="24"/>
          <w:lang w:val="uk-UA"/>
        </w:rPr>
        <w:t>Документальна перевірка розрахункових операцій</w:t>
      </w:r>
      <w:r>
        <w:rPr>
          <w:sz w:val="24"/>
          <w:lang w:val="uk-UA"/>
        </w:rPr>
        <w:t>.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6.</w:t>
      </w:r>
      <w:r>
        <w:rPr>
          <w:i/>
        </w:rPr>
        <w:t xml:space="preserve"> </w:t>
      </w:r>
      <w:r>
        <w:t>Документальна перевірка основних засобів та матеріальних цінностей.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7.</w:t>
      </w:r>
      <w:r>
        <w:rPr>
          <w:i/>
        </w:rPr>
        <w:t xml:space="preserve"> </w:t>
      </w:r>
      <w:r>
        <w:t>Документальна перевірка витрат на виробництво та готової продукції</w:t>
      </w:r>
      <w:r>
        <w:rPr>
          <w:rStyle w:val="FontStyle26"/>
          <w:b w:val="0"/>
          <w:sz w:val="24"/>
        </w:rPr>
        <w:t>.</w:t>
      </w:r>
    </w:p>
    <w:p w:rsidR="006112BB" w:rsidRDefault="006112BB" w:rsidP="006112BB">
      <w:pPr>
        <w:widowControl w:val="0"/>
        <w:rPr>
          <w:bCs/>
          <w:i/>
        </w:rPr>
      </w:pPr>
      <w:r>
        <w:rPr>
          <w:b/>
        </w:rPr>
        <w:t>Тема 8.</w:t>
      </w:r>
      <w:r>
        <w:rPr>
          <w:i/>
        </w:rPr>
        <w:t xml:space="preserve"> </w:t>
      </w:r>
      <w:r>
        <w:t>Документальна перевірка стану бухгалтерського обліку та фінансової звітності.</w:t>
      </w:r>
    </w:p>
    <w:p w:rsidR="006112BB" w:rsidRDefault="006112BB" w:rsidP="006112BB">
      <w:pPr>
        <w:widowControl w:val="0"/>
        <w:tabs>
          <w:tab w:val="left" w:pos="7033"/>
        </w:tabs>
        <w:rPr>
          <w:b/>
        </w:rPr>
      </w:pPr>
    </w:p>
    <w:p w:rsidR="006112BB" w:rsidRDefault="006112BB" w:rsidP="006112BB">
      <w:pPr>
        <w:widowControl w:val="0"/>
        <w:tabs>
          <w:tab w:val="left" w:pos="284"/>
          <w:tab w:val="left" w:pos="567"/>
        </w:tabs>
        <w:ind w:left="360"/>
        <w:jc w:val="center"/>
        <w:rPr>
          <w:b/>
        </w:rPr>
      </w:pPr>
      <w:r>
        <w:rPr>
          <w:b/>
        </w:rPr>
        <w:t>4. Структура навчальної дисципліни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5"/>
        <w:gridCol w:w="891"/>
        <w:gridCol w:w="825"/>
        <w:gridCol w:w="828"/>
        <w:gridCol w:w="840"/>
        <w:gridCol w:w="891"/>
        <w:gridCol w:w="818"/>
        <w:gridCol w:w="733"/>
        <w:gridCol w:w="563"/>
      </w:tblGrid>
      <w:tr w:rsidR="006112BB" w:rsidTr="006112BB">
        <w:trPr>
          <w:cantSplit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Назви тематичних розділів і тем</w:t>
            </w:r>
          </w:p>
        </w:tc>
        <w:tc>
          <w:tcPr>
            <w:tcW w:w="3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 годин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денна форма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Заочна форма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 xml:space="preserve">усього 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у тому числі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 xml:space="preserve">усього 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у тому числі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с/п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с.р.</w:t>
            </w: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Розділ І. Організація та стадії документальної перевірки</w:t>
            </w: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b"/>
              <w:widowControl w:val="0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ІІ.</w:t>
            </w:r>
            <w:r>
              <w:rPr>
                <w:b/>
                <w:i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Узагальнення результатів документальної перевірки</w:t>
            </w: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</w:rPr>
            </w:pPr>
            <w:r>
              <w:rPr>
                <w:bCs/>
              </w:rPr>
              <w:t>Разом за розділом 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4"/>
              <w:keepNext w:val="0"/>
              <w:widowControl w:val="0"/>
              <w:jc w:val="right"/>
              <w:rPr>
                <w:rFonts w:eastAsia="Times New Roman"/>
              </w:rPr>
            </w:pPr>
            <w:r>
              <w:t xml:space="preserve">Усього годин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</w:tbl>
    <w:p w:rsidR="006112BB" w:rsidRDefault="006112BB" w:rsidP="006112BB">
      <w:pPr>
        <w:widowControl w:val="0"/>
        <w:ind w:left="7513" w:hanging="425"/>
      </w:pPr>
    </w:p>
    <w:p w:rsidR="006112BB" w:rsidRDefault="006112BB" w:rsidP="006112BB">
      <w:pPr>
        <w:widowControl w:val="0"/>
        <w:ind w:left="7513" w:hanging="6946"/>
        <w:jc w:val="center"/>
        <w:rPr>
          <w:b/>
        </w:rPr>
      </w:pPr>
      <w:r>
        <w:rPr>
          <w:b/>
        </w:rPr>
        <w:t>5. 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32</w:t>
            </w:r>
          </w:p>
        </w:tc>
      </w:tr>
    </w:tbl>
    <w:p w:rsidR="006112BB" w:rsidRDefault="006112BB" w:rsidP="006112BB">
      <w:pPr>
        <w:widowControl w:val="0"/>
        <w:ind w:left="7513" w:hanging="7513"/>
        <w:jc w:val="center"/>
        <w:rPr>
          <w:b/>
        </w:rPr>
      </w:pPr>
    </w:p>
    <w:p w:rsidR="006112BB" w:rsidRDefault="006112BB" w:rsidP="006112BB">
      <w:pPr>
        <w:widowControl w:val="0"/>
        <w:ind w:left="7513" w:hanging="7513"/>
        <w:jc w:val="center"/>
        <w:rPr>
          <w:b/>
        </w:rPr>
      </w:pPr>
      <w:r>
        <w:rPr>
          <w:b/>
        </w:rPr>
        <w:t>6. Теми 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</w:tr>
    </w:tbl>
    <w:p w:rsidR="006112BB" w:rsidRDefault="006112BB" w:rsidP="006112BB">
      <w:pPr>
        <w:widowControl w:val="0"/>
        <w:ind w:left="7513" w:hanging="7513"/>
        <w:jc w:val="center"/>
        <w:rPr>
          <w:b/>
          <w:sz w:val="20"/>
          <w:szCs w:val="20"/>
        </w:rPr>
      </w:pPr>
    </w:p>
    <w:p w:rsidR="006112BB" w:rsidRDefault="006112BB" w:rsidP="006112BB">
      <w:pPr>
        <w:widowControl w:val="0"/>
        <w:ind w:left="7513" w:hanging="7513"/>
        <w:jc w:val="center"/>
        <w:rPr>
          <w:b/>
        </w:rPr>
      </w:pPr>
      <w:r>
        <w:rPr>
          <w:b/>
        </w:rPr>
        <w:t>7.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102</w:t>
            </w:r>
          </w:p>
        </w:tc>
      </w:tr>
    </w:tbl>
    <w:p w:rsidR="006112BB" w:rsidRDefault="006112BB" w:rsidP="006112BB">
      <w:pPr>
        <w:ind w:left="142" w:firstLine="38"/>
        <w:jc w:val="center"/>
        <w:rPr>
          <w:b/>
        </w:rPr>
      </w:pPr>
    </w:p>
    <w:p w:rsidR="006112BB" w:rsidRDefault="006112BB" w:rsidP="006112BB">
      <w:pPr>
        <w:ind w:left="142" w:firstLine="38"/>
        <w:jc w:val="center"/>
        <w:rPr>
          <w:b/>
        </w:rPr>
      </w:pPr>
      <w:r>
        <w:rPr>
          <w:b/>
        </w:rPr>
        <w:t>8. Види контролю та система накопичення балів</w:t>
      </w:r>
    </w:p>
    <w:p w:rsidR="006112BB" w:rsidRDefault="006112BB" w:rsidP="006112BB">
      <w:pPr>
        <w:widowControl w:val="0"/>
        <w:ind w:firstLine="709"/>
        <w:jc w:val="both"/>
        <w:rPr>
          <w:b/>
        </w:rPr>
      </w:pPr>
    </w:p>
    <w:p w:rsidR="006112BB" w:rsidRDefault="006112BB" w:rsidP="006112BB">
      <w:pPr>
        <w:widowControl w:val="0"/>
        <w:ind w:firstLine="709"/>
        <w:jc w:val="both"/>
      </w:pPr>
      <w:r>
        <w:rPr>
          <w:b/>
        </w:rPr>
        <w:t>Розподіл балів, які отримують студенти</w:t>
      </w:r>
      <w:r>
        <w:t xml:space="preserve"> представлено в таблиці нижче. Оцінювання знань здійснюється на основі поточного і підсумкового контролю знань. </w:t>
      </w:r>
    </w:p>
    <w:p w:rsidR="006112BB" w:rsidRDefault="006112BB" w:rsidP="006112BB">
      <w:pPr>
        <w:ind w:firstLine="709"/>
        <w:jc w:val="center"/>
      </w:pPr>
      <w:r>
        <w:t>Розподіл балів, що присвоюють студентам: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666"/>
        <w:gridCol w:w="3320"/>
        <w:gridCol w:w="603"/>
        <w:gridCol w:w="947"/>
        <w:gridCol w:w="820"/>
      </w:tblGrid>
      <w:tr w:rsidR="006112BB" w:rsidTr="006112BB">
        <w:trPr>
          <w:cantSplit/>
          <w:trHeight w:val="291"/>
        </w:trPr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Поточний контроль знань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Залік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Сума</w:t>
            </w:r>
          </w:p>
        </w:tc>
      </w:tr>
      <w:tr w:rsidR="006112BB" w:rsidTr="006112BB">
        <w:trPr>
          <w:cantSplit/>
        </w:trPr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Розділ 1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Розділ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  <w:trHeight w:val="14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  <w:trHeight w:val="25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Атестаційний контроль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Атестаційний контроль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Разом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100</w:t>
            </w:r>
          </w:p>
        </w:tc>
      </w:tr>
    </w:tbl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</w:p>
    <w:p w:rsidR="006112BB" w:rsidRDefault="006112BB" w:rsidP="006112BB">
      <w:pPr>
        <w:ind w:firstLine="709"/>
        <w:jc w:val="both"/>
        <w:rPr>
          <w:bCs/>
        </w:rPr>
      </w:pPr>
      <w:r>
        <w:rPr>
          <w:bCs/>
        </w:rPr>
        <w:t>На кожному практичному занятті відбувається перевірка лекційного матеріалу у формі опитування, яке складається з 5 питань (0,6 х 5= 3 бала). та розв’язання задачі (5 балів). Максимально за одне практичне заняття студенти можуть набрати 8 балів. Протягом вивчення курсу - 64 балів (8 балів х 8 практичних занять = 64 балів).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lastRenderedPageBreak/>
        <w:t xml:space="preserve">Максимальна оцінка поточного контролю становить 16 балів (8 балів – перший атестаційний контроль та 8 балів другий атестаційний контроль). Атестаційний контроль </w:t>
      </w:r>
      <w:r>
        <w:rPr>
          <w:lang w:eastAsia="ja-JP"/>
        </w:rPr>
        <w:t xml:space="preserve">проводиться у формі тестування в системі </w:t>
      </w:r>
      <w:r>
        <w:rPr>
          <w:lang w:val="en-US" w:eastAsia="ja-JP"/>
        </w:rPr>
        <w:t>MOODLE</w:t>
      </w:r>
      <w:r>
        <w:rPr>
          <w:lang w:eastAsia="ja-JP"/>
        </w:rPr>
        <w:t xml:space="preserve">. Атестаційний контроль №1 складається з 30 тестових завдань. Тест містить 3 відповіді, одна з яких є вірною. Кожне завдання оцінюється в 0,267 бали. таким чином, відповівши вірно на всі запитання студент може отримати 8 балів (0,267 бали × 30 питань = 8 балів). Дозволено одну спробу. </w:t>
      </w:r>
    </w:p>
    <w:p w:rsidR="006112BB" w:rsidRDefault="006112BB" w:rsidP="006112B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>
        <w:rPr>
          <w:bCs/>
        </w:rPr>
        <w:t xml:space="preserve">Таким чином, під час поточного контролю за всіма видами роботи студенти можуть всього набрати не більше </w:t>
      </w:r>
      <w:r w:rsidRPr="006112BB">
        <w:rPr>
          <w:bCs/>
          <w:lang w:val="ru-RU"/>
        </w:rPr>
        <w:t>8</w:t>
      </w:r>
      <w:r>
        <w:rPr>
          <w:bCs/>
        </w:rPr>
        <w:t xml:space="preserve">0 балів. </w:t>
      </w:r>
      <w:r>
        <w:rPr>
          <w:color w:val="000000"/>
        </w:rPr>
        <w:t xml:space="preserve">Якщо за результатами поточного контролю знань студент отримає менше 35 балів, то на </w:t>
      </w:r>
      <w:r w:rsidRPr="006112BB">
        <w:rPr>
          <w:color w:val="000000"/>
          <w:lang w:val="ru-RU"/>
        </w:rPr>
        <w:t>залік</w:t>
      </w:r>
      <w:r>
        <w:rPr>
          <w:color w:val="000000"/>
        </w:rPr>
        <w:t xml:space="preserve"> він не допускається.</w:t>
      </w:r>
    </w:p>
    <w:p w:rsidR="006112BB" w:rsidRDefault="006112BB" w:rsidP="006112BB">
      <w:pPr>
        <w:widowControl w:val="0"/>
        <w:jc w:val="both"/>
      </w:pPr>
    </w:p>
    <w:p w:rsidR="006112BB" w:rsidRDefault="006112BB" w:rsidP="006112BB">
      <w:pPr>
        <w:widowControl w:val="0"/>
        <w:jc w:val="center"/>
        <w:rPr>
          <w:lang w:eastAsia="ja-JP"/>
        </w:rPr>
      </w:pPr>
      <w:r>
        <w:rPr>
          <w:lang w:eastAsia="ja-JP"/>
        </w:rPr>
        <w:t>КРИТЕРІЇ ОЦІНЮВАННЯ ЗАЛІКОВОЇ РОБОТИ</w:t>
      </w:r>
    </w:p>
    <w:p w:rsidR="006112BB" w:rsidRDefault="006112BB" w:rsidP="006112BB">
      <w:pPr>
        <w:ind w:firstLine="900"/>
        <w:jc w:val="both"/>
        <w:rPr>
          <w:lang w:eastAsia="ja-JP"/>
        </w:rPr>
      </w:pPr>
      <w:r>
        <w:rPr>
          <w:b/>
          <w:lang w:eastAsia="ja-JP"/>
        </w:rPr>
        <w:t>Максимальна оцінка, яку студент може отримати за виконання заліковой роботи, складає 20 балів</w:t>
      </w:r>
      <w:r>
        <w:rPr>
          <w:lang w:eastAsia="ja-JP"/>
        </w:rPr>
        <w:t xml:space="preserve"> Залікова робота містить два теоретичних питання, кожне з яких оцінюється в 6 балів та задачу, яка оцінюється в 8 балів.</w:t>
      </w:r>
    </w:p>
    <w:p w:rsidR="006112BB" w:rsidRDefault="006112BB" w:rsidP="006112BB">
      <w:pPr>
        <w:widowControl w:val="0"/>
        <w:ind w:firstLine="900"/>
        <w:jc w:val="both"/>
        <w:rPr>
          <w:lang w:eastAsia="ja-JP"/>
        </w:rPr>
      </w:pPr>
      <w:r>
        <w:rPr>
          <w:lang w:eastAsia="ja-JP"/>
        </w:rPr>
        <w:t>Результат виконання студентом кожного теоретичного завдання оцінюється  за такою шкалою: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максимальна оцінка (6 балів)</w:t>
      </w:r>
      <w:r>
        <w:rPr>
          <w:lang w:eastAsia="ja-JP"/>
        </w:rPr>
        <w:t>: студент правильно відповів на теоретичне питання;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4-5 бали</w:t>
      </w:r>
      <w:r>
        <w:rPr>
          <w:lang w:eastAsia="ja-JP"/>
        </w:rPr>
        <w:t xml:space="preserve">: студент дав не повну відповідь </w:t>
      </w:r>
      <w:r>
        <w:rPr>
          <w:b/>
          <w:lang w:eastAsia="ja-JP"/>
        </w:rPr>
        <w:t xml:space="preserve">без суттєвих помилок </w:t>
      </w:r>
      <w:r>
        <w:rPr>
          <w:lang w:eastAsia="ja-JP"/>
        </w:rPr>
        <w:t>або з незначними помилками;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- 2-3 бали</w:t>
      </w:r>
      <w:r>
        <w:rPr>
          <w:lang w:eastAsia="ja-JP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- 1 бал: </w:t>
      </w:r>
      <w:r>
        <w:rPr>
          <w:lang w:eastAsia="ja-JP"/>
        </w:rPr>
        <w:t>студент отримує у випадку, якщо він знає тільки визначення понять;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- 0 балів: </w:t>
      </w:r>
      <w:r>
        <w:rPr>
          <w:lang w:eastAsia="ja-JP"/>
        </w:rPr>
        <w:t>студент не відповів на питання або відповідь не правильна.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>Результат вирішення студентом задачі оцінюється за наступною шкалою: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максимальна оцінка (8 балів)</w:t>
      </w:r>
      <w:r>
        <w:rPr>
          <w:lang w:eastAsia="ja-JP"/>
        </w:rPr>
        <w:t>: студент правильно розв’язав задачу;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6-7 балів</w:t>
      </w:r>
      <w:r>
        <w:rPr>
          <w:lang w:eastAsia="ja-JP"/>
        </w:rPr>
        <w:t>: студент розв’язав задачу з помилками, але зрозуміло, що він знає алгоритм вирішення задачі;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- 4-5 бали</w:t>
      </w:r>
      <w:r>
        <w:rPr>
          <w:lang w:eastAsia="ja-JP"/>
        </w:rPr>
        <w:t>: студент розв’язав задачу з помилками, з яких зрозуміло, що він не знає алгоритм розв’язання задачі;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- 2-3 бали</w:t>
      </w:r>
      <w:r>
        <w:rPr>
          <w:lang w:eastAsia="ja-JP"/>
        </w:rPr>
        <w:t>: студент правильно виписав формулу за якою розв’язується задача та зробив спробу її розв’язання, наприклад виконав допоміжні розрахунки;</w:t>
      </w:r>
    </w:p>
    <w:p w:rsidR="006112BB" w:rsidRDefault="006112BB" w:rsidP="006112BB">
      <w:pPr>
        <w:widowControl w:val="0"/>
        <w:ind w:firstLine="709"/>
        <w:jc w:val="both"/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- 1 бал: </w:t>
      </w:r>
      <w:r>
        <w:rPr>
          <w:lang w:eastAsia="ja-JP"/>
        </w:rPr>
        <w:t>студент правильно виписав формулу за якою розв’язується задача;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- 0 балів: </w:t>
      </w:r>
      <w:r>
        <w:rPr>
          <w:lang w:eastAsia="ja-JP"/>
        </w:rPr>
        <w:t>студент не розв’язав задачу.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</w:p>
    <w:p w:rsidR="006112BB" w:rsidRDefault="006112BB" w:rsidP="006112BB">
      <w:pPr>
        <w:spacing w:after="120"/>
        <w:jc w:val="center"/>
        <w:rPr>
          <w:b/>
          <w:bCs/>
          <w:lang w:eastAsia="ru-RU"/>
        </w:rPr>
      </w:pPr>
      <w:r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5739"/>
        <w:gridCol w:w="2624"/>
      </w:tblGrid>
      <w:tr w:rsidR="006112BB" w:rsidTr="006112BB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1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6112BB" w:rsidRDefault="006112B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ind w:right="-108"/>
              <w:jc w:val="center"/>
              <w:outlineLvl w:val="4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За шкалою </w:t>
            </w:r>
            <w:r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 національною шкалою</w:t>
            </w:r>
          </w:p>
        </w:tc>
      </w:tr>
      <w:tr w:rsidR="006112BB" w:rsidTr="006112BB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b/>
                <w:bCs/>
              </w:rPr>
            </w:pPr>
          </w:p>
        </w:tc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Залік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 (відмінно)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</w:rPr>
            </w:pP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</w:rPr>
            </w:pP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F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</w:rPr>
            </w:pPr>
          </w:p>
        </w:tc>
      </w:tr>
    </w:tbl>
    <w:p w:rsidR="006112BB" w:rsidRDefault="006112BB" w:rsidP="006112BB">
      <w:pPr>
        <w:widowControl w:val="0"/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ru-RU"/>
        </w:rPr>
      </w:pPr>
    </w:p>
    <w:p w:rsidR="006112BB" w:rsidRDefault="006112BB" w:rsidP="006112BB">
      <w:pPr>
        <w:widowControl w:val="0"/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9. Рекомендована література</w:t>
      </w:r>
    </w:p>
    <w:p w:rsidR="006112BB" w:rsidRDefault="006112BB" w:rsidP="006112BB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Основна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Базась М. Ф. Теоретико-методологічні засади судово-бухгалтерської експертизи: Навч. посіб. для студ. вищ. навч. закл. / М. Ф. Базась – К.: МАУП, 2007. – 488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Глібко В. М. Судова бухгалтерія: Підручник / В. М. Глібко, О. П. Бущак. – К.: Юрінком Інтер, 2007. – 224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Гуцаленко Л. В. Судово-бухгалтерська експертиза: Навч. Посібник. / Л. В. Гуцаленко, Л. Г. Михальчишина, В. М. Сидорчук, І. К. Пентюк – К.:, Центр учбової літератури, 2011.– 352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Дондик Н. Я. Спеціальні бухгалтерські знання та їх застосування під час розкриття та розслідування економічних злочинів: монографія / Н. Я. Дондик – К.: Атіка, 2007. – 144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Живко З. Б. Судова бухгалтерія: Навчально-методичний посібник. / З. Б. Живко - К.: Атіка, 2007. - 344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Зеленецький В. С. Боротьба з легалізацією (відмиванням) доходів, одержаних злочинним шляхом, та фінансуванням тероризму (економіко-правовий аналіз): Наук.-практ. посібник./ В. С. Зеленецький, В. Л. Кротюк, Д. А. Файер – Харків: Вид-во "Кроссроуд", 2007. – 672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Камлик М. І. Судова бухгалтерія. Підручник / М. І. Камлик – К.: Експерт, 2003. — 592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Лазуренко В. И. Судебно-бухгалтерская экспертиза [Текст] : учеб.-практ. пособие / В. И. Лазуренко ; Донец. юрид. ин-т Луган. гос. ун-та внутр. дел. - Донецк : Вебер, 2008. - 311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Мумінова-Савіна Г. Г. Судово-бухгалтерська експертиза: Навч. посіб. / Г. Г. Мумінова-Савіна. – К.: КНЕУ, 2006. – 204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Савченко Л. І. Судово-бухгалтерська експертиза. Практикум для студентів освітньо-кваліфікаційного рівня «магістр» напрямку підготовки «Економіка і підприємництво» спеціальності "Облік і аудит", спеціалізації "Державний фінансовий контроль"./ Л. І. Савченко – КНТЕУ, 2009. – 86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Судово-бухгалтерська експертиза. Посібник для студентів спеціальності “Облік і аудит” вищих навчальних закладів./ За ред. проф. Ф.Ф. Бутинця. – Житомир: ПП “Рута”, 2004. – 460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Шарманська В. М. Судова бухгалтерія. Навч. пос. / В. М. Шарманська, С. О. Шарманська, І. В. Головко – К.: Центр учбової літератури, 2008. – 454 с.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Швець В. Є. Основи бухгалтерського обліку та судово-бухгалтерської експертизи. Підручник. / В. Є. Швець. – К. : Каравела, 2008. – 240 с.</w:t>
      </w:r>
    </w:p>
    <w:p w:rsidR="006112BB" w:rsidRDefault="006112BB" w:rsidP="006112BB">
      <w:pPr>
        <w:pStyle w:val="6"/>
        <w:widowControl w:val="0"/>
        <w:spacing w:before="0"/>
        <w:ind w:firstLine="709"/>
        <w:jc w:val="center"/>
      </w:pPr>
    </w:p>
    <w:p w:rsidR="006112BB" w:rsidRDefault="006112BB" w:rsidP="006112BB">
      <w:pPr>
        <w:pStyle w:val="6"/>
        <w:widowControl w:val="0"/>
        <w:spacing w:before="0"/>
        <w:ind w:firstLine="709"/>
        <w:jc w:val="center"/>
      </w:pPr>
      <w:r>
        <w:t>Додаткова література</w:t>
      </w:r>
    </w:p>
    <w:p w:rsidR="006112BB" w:rsidRDefault="006112BB" w:rsidP="006112BB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-16"/>
        </w:rPr>
        <w:t>Бандурка А. М. и др. Основы судебной бухгалтерии: Учебник. – Харьков: Изд-во национального университета внутренних дел, 2001. – 336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t>Білоус В. Т. Координація боротьби з економічною злочинністю: Монографія. / Т. В. Білоус – Ірпінь, Академія державної податкової служби України, 2005. – 449 с.</w:t>
      </w:r>
    </w:p>
    <w:p w:rsidR="006112BB" w:rsidRDefault="006112BB" w:rsidP="006112BB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-5"/>
        </w:rPr>
        <w:t>Білуха М. Т. Фінансовий контроль: теорія, ревізія, аудит. Підручник. / М. Т. Білуха, Т. В. Микитенко – К.: Українська академія оригінальних ідей. – 2005. – 888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  <w:rPr>
          <w:lang w:val="ru-RU"/>
        </w:rPr>
      </w:pPr>
      <w:r>
        <w:t>Бочкова Л. И. Судебная бухгалтерия. Общая часть: Учебное пособие / Л. И. Бочкова, О. Э. Новак, С. В.Савинов. – М.: Издательско-торговая корпорация "Дашков и К"; Саратов: ООО "Бизнес Волга", 2008. – 320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  <w:rPr>
          <w:bCs/>
          <w:iCs/>
        </w:rPr>
      </w:pPr>
      <w:r>
        <w:t>Волкова І. А. Судово-бухгалтерська експертиза: навч. посіб. [для студ. вищ. навч. закл.] / І. А. Волкова — К.: Центр учбової літератури, 2009. – 84 с.</w:t>
      </w:r>
    </w:p>
    <w:p w:rsidR="006112BB" w:rsidRDefault="006112BB" w:rsidP="006112BB">
      <w:pPr>
        <w:widowControl w:val="0"/>
        <w:numPr>
          <w:ilvl w:val="0"/>
          <w:numId w:val="13"/>
        </w:numPr>
        <w:shd w:val="clear" w:color="auto" w:fill="FFFFFF"/>
        <w:suppressAutoHyphens w:val="0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Живко З. Б. Контрольно-ревізійна діяльність. Конспект лекцій. Модуль 1 і 2 : Навч. посібник./ З. Б. Живко, В. І. Франчук, М. О. Живко – К.: Алерта, 2008. – 444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  <w:rPr>
          <w:lang w:eastAsia="ru-RU"/>
        </w:rPr>
      </w:pPr>
      <w:r>
        <w:rPr>
          <w:bCs/>
        </w:rPr>
        <w:t>Лазуренко В. И.</w:t>
      </w:r>
      <w:r>
        <w:t xml:space="preserve"> Региональные проблемы экономической преступности: монография / В. И. </w:t>
      </w:r>
      <w:r>
        <w:rPr>
          <w:bCs/>
        </w:rPr>
        <w:t>Лазуренко</w:t>
      </w:r>
      <w:r>
        <w:t>, Т. В. Филипенко ; Донец.ин-т внутр.дел. – Донецк : ДИВД, 2003. – 451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rPr>
          <w:bCs/>
        </w:rPr>
        <w:t>Лазуренко В. И.</w:t>
      </w:r>
      <w:r>
        <w:t xml:space="preserve"> Злоупотребления в сфере бухгалтерского учета и отчетности: монография / В.И.</w:t>
      </w:r>
      <w:r>
        <w:rPr>
          <w:bCs/>
        </w:rPr>
        <w:t>Лазуренко</w:t>
      </w:r>
      <w:r>
        <w:t xml:space="preserve"> ; Луг. гос. ун-т внутр. дел. – Донецк : ДЮИ ЛГУВД, 2006. – 387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rPr>
          <w:bCs/>
        </w:rPr>
        <w:t>Лазуренко В. И.</w:t>
      </w:r>
      <w:r>
        <w:t xml:space="preserve"> Аудит и экспертная диагностика финансово-хозяйственного положения предприятия: монография / В. И. </w:t>
      </w:r>
      <w:r>
        <w:rPr>
          <w:bCs/>
        </w:rPr>
        <w:t>Лазуренко</w:t>
      </w:r>
      <w:r>
        <w:t xml:space="preserve"> ; Донец. юрид. ин-т Луг. гос. ун-та внутр. дел им. Э. А. Дидоренко. - Донецк : Норд-Пресс, 2008. – 381 с. 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rPr>
          <w:bCs/>
        </w:rPr>
        <w:t>Лазуренко В. И.</w:t>
      </w:r>
      <w:r>
        <w:t xml:space="preserve"> Организация и проведение аудита по требованию контролирующих органов / В. И. </w:t>
      </w:r>
      <w:r>
        <w:rPr>
          <w:bCs/>
        </w:rPr>
        <w:t>Лазуренко</w:t>
      </w:r>
      <w:r>
        <w:t xml:space="preserve"> ; Донец. юрид. ин-т Луг. гос. ун-та внутр. дел им. Э. О. Дидоренко. – Донецк : Норд-Пресс, 2008. – 88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  <w:rPr>
          <w:iCs/>
          <w:lang w:val="ru-RU"/>
        </w:rPr>
      </w:pPr>
      <w:r>
        <w:rPr>
          <w:bCs/>
        </w:rPr>
        <w:t xml:space="preserve">Нашкерська Г. Методологія і практика оцінювання у фінансовому обліку. </w:t>
      </w:r>
      <w:r>
        <w:t xml:space="preserve">Монографія. / Г. </w:t>
      </w:r>
      <w:r>
        <w:rPr>
          <w:bCs/>
        </w:rPr>
        <w:t>Нашкерська</w:t>
      </w:r>
      <w:r>
        <w:t xml:space="preserve"> - Львів: Видавничий центр ЛНУ імені Івана Франка, 2009. – 426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rPr>
          <w:iCs/>
        </w:rPr>
        <w:t xml:space="preserve">Отенко В. І. </w:t>
      </w:r>
      <w:r>
        <w:t>Судова бухгалтерія для менеджерів підприємств: Навчальний посібник. /</w:t>
      </w:r>
      <w:r>
        <w:rPr>
          <w:iCs/>
        </w:rPr>
        <w:t xml:space="preserve"> В. І. Отенко, В. Д. Понікаров, Т. М.</w:t>
      </w:r>
      <w:r>
        <w:t xml:space="preserve"> </w:t>
      </w:r>
      <w:r>
        <w:rPr>
          <w:iCs/>
        </w:rPr>
        <w:t xml:space="preserve">Сєрікова </w:t>
      </w:r>
      <w:r>
        <w:t>– X.: ВД "ШЖЕК", 2005. – 560 с.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t>Толкаченко A. A Судебная бухгалтерия: учеб. пособие для студентов вузов, обучающихся по специальностям (021100) "Юриспруденция", (060500) "Бухгалтерский учет, анализ и аудит" / A. A. Толкаченко и др.; под ред. A. A. Толкаченко, В. А.Бородина. – 2-е изд., перераб. и доп. – М.: ЮНИТИ-ДАНА, 2007. – 224 с.</w:t>
      </w:r>
    </w:p>
    <w:p w:rsidR="006112BB" w:rsidRDefault="006112BB" w:rsidP="006112BB">
      <w:pPr>
        <w:widowControl w:val="0"/>
        <w:tabs>
          <w:tab w:val="left" w:pos="10065"/>
        </w:tabs>
        <w:ind w:firstLine="709"/>
        <w:jc w:val="both"/>
      </w:pPr>
    </w:p>
    <w:p w:rsidR="006112BB" w:rsidRDefault="006112BB" w:rsidP="006112BB">
      <w:pPr>
        <w:widowControl w:val="0"/>
        <w:shd w:val="clear" w:color="auto" w:fill="FFFFFF"/>
        <w:tabs>
          <w:tab w:val="left" w:pos="365"/>
        </w:tabs>
        <w:ind w:firstLine="709"/>
        <w:jc w:val="center"/>
        <w:rPr>
          <w:spacing w:val="-20"/>
        </w:rPr>
      </w:pPr>
      <w:r>
        <w:rPr>
          <w:b/>
        </w:rPr>
        <w:t>Інформаційні ресурси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lang w:eastAsia="en-US"/>
        </w:rPr>
      </w:pPr>
      <w:r>
        <w:t xml:space="preserve">Офіційний сайт Науково-дослідний інститут фінансового права. </w:t>
      </w:r>
      <w:r w:rsidRPr="006112BB">
        <w:rPr>
          <w:lang w:val="ru-RU"/>
        </w:rPr>
        <w:t>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ndi-fp.asta.edu.ua/ -.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lang w:eastAsia="ru-RU"/>
        </w:rPr>
      </w:pPr>
      <w:r>
        <w:t>Офіційний сайт Незалежного інституту судових експертиз.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8" w:history="1">
        <w:r>
          <w:rPr>
            <w:rStyle w:val="a3"/>
            <w:lang w:eastAsia="en-US"/>
          </w:rPr>
          <w:t>www.nise.com.ua</w:t>
        </w:r>
      </w:hyperlink>
      <w:r>
        <w:t>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</w:pPr>
      <w:r>
        <w:t>Офіційний сайт Верховної Ради України.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9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rada</w:t>
        </w:r>
        <w:r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gov</w:t>
        </w:r>
        <w:r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ua</w:t>
        </w:r>
      </w:hyperlink>
      <w:r>
        <w:t>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Кабінету міністрів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0"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kmu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gov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Міністерства фінансів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r>
        <w:rPr>
          <w:noProof/>
          <w:lang w:val="en-US"/>
        </w:rPr>
        <w:t>www</w:t>
      </w:r>
      <w:r>
        <w:rPr>
          <w:noProof/>
        </w:rPr>
        <w:t>.</w:t>
      </w:r>
      <w:r>
        <w:rPr>
          <w:noProof/>
          <w:lang w:val="en-US"/>
        </w:rPr>
        <w:t>minfin</w:t>
      </w:r>
      <w:r>
        <w:rPr>
          <w:noProof/>
        </w:rPr>
        <w:t>.</w:t>
      </w:r>
      <w:r>
        <w:rPr>
          <w:noProof/>
          <w:lang w:val="en-US"/>
        </w:rPr>
        <w:t>gov</w:t>
      </w:r>
      <w:r>
        <w:rPr>
          <w:noProof/>
        </w:rPr>
        <w:t>.</w:t>
      </w:r>
      <w:r>
        <w:rPr>
          <w:noProof/>
          <w:lang w:val="en-US"/>
        </w:rPr>
        <w:t>ua</w:t>
      </w:r>
      <w:r>
        <w:rPr>
          <w:noProof/>
        </w:rPr>
        <w:t xml:space="preserve"> 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  <w:lang w:val="ru-RU"/>
        </w:rPr>
      </w:pPr>
      <w:r>
        <w:rPr>
          <w:noProof/>
        </w:rPr>
        <w:t>Офіційний сайт Верховної ради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rada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 w:rsidRPr="006112BB">
        <w:rPr>
          <w:noProof/>
          <w:lang w:val="ru-RU"/>
        </w:rPr>
        <w:t xml:space="preserve"> </w:t>
      </w:r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Аудиторської палати України.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w:history="1">
        <w:r>
          <w:rPr>
            <w:rStyle w:val="a3"/>
          </w:rPr>
          <w:t xml:space="preserve">www.apu.com.ua </w:t>
        </w:r>
      </w:hyperlink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Інституту Внутрішніх аудиторів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theiia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org</w:t>
        </w:r>
        <w:r>
          <w:rPr>
            <w:rStyle w:val="a3"/>
            <w:noProof/>
          </w:rPr>
          <w:t xml:space="preserve"> </w:t>
        </w:r>
      </w:hyperlink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Міжнародної федерації бухгалтерів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2"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ifac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org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bCs/>
        </w:rPr>
      </w:pPr>
      <w:r>
        <w:rPr>
          <w:bCs/>
        </w:rPr>
        <w:t>Офіційний сайт Державної податкової адміністрації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3" w:history="1">
        <w:r>
          <w:rPr>
            <w:rStyle w:val="a3"/>
            <w:bCs/>
          </w:rPr>
          <w:t>www.sta.gov.ua</w:t>
        </w:r>
      </w:hyperlink>
      <w:r>
        <w:rPr>
          <w:bCs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  <w:lang w:val="ru-RU"/>
        </w:rPr>
      </w:pPr>
      <w:r>
        <w:rPr>
          <w:noProof/>
        </w:rPr>
        <w:t>Офіційний сайт</w:t>
      </w:r>
      <w:r>
        <w:t xml:space="preserve"> газети «Урядовий кур’єр»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4" w:history="1">
        <w:r>
          <w:rPr>
            <w:rStyle w:val="a3"/>
            <w:bCs/>
          </w:rPr>
          <w:t>www.ukcc.com.ua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</w:t>
      </w:r>
      <w:r>
        <w:t xml:space="preserve"> газети "Бизнес"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5" w:tgtFrame="_blank" w:history="1">
        <w:r>
          <w:rPr>
            <w:rStyle w:val="a3"/>
            <w:bCs/>
          </w:rPr>
          <w:t>www.business.kiev.ua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</w:t>
      </w:r>
      <w:r>
        <w:t xml:space="preserve"> інформаційно-аналітичнолго порталу «Бізнес в Україні»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6" w:history="1">
        <w:r>
          <w:rPr>
            <w:rStyle w:val="a3"/>
            <w:bCs/>
          </w:rPr>
          <w:t>www.dinai.com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sz w:val="28"/>
        </w:rPr>
      </w:pPr>
      <w:r>
        <w:rPr>
          <w:noProof/>
        </w:rPr>
        <w:t>Офіційний сайт</w:t>
      </w:r>
      <w:r>
        <w:t xml:space="preserve"> Головного державного об’єднання правової інформації </w:t>
      </w:r>
      <w:r>
        <w:lastRenderedPageBreak/>
        <w:t xml:space="preserve">Міністерства юстиції України 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7" w:history="1">
        <w:r>
          <w:rPr>
            <w:rStyle w:val="a3"/>
            <w:bCs/>
          </w:rPr>
          <w:t>www.gdo.kiev.ua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</w:pPr>
    </w:p>
    <w:p w:rsidR="008F2CF5" w:rsidRDefault="008F2CF5" w:rsidP="006112BB">
      <w:pPr>
        <w:pStyle w:val="3"/>
        <w:spacing w:after="0"/>
        <w:ind w:firstLine="567"/>
      </w:pPr>
    </w:p>
    <w:sectPr w:rsidR="008F2CF5" w:rsidSect="00AD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8" w:rsidRDefault="00BA7AC8" w:rsidP="00013836">
      <w:r>
        <w:separator/>
      </w:r>
    </w:p>
  </w:endnote>
  <w:endnote w:type="continuationSeparator" w:id="0">
    <w:p w:rsidR="00BA7AC8" w:rsidRDefault="00BA7AC8" w:rsidP="0001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8" w:rsidRDefault="00BA7AC8" w:rsidP="00013836">
      <w:r>
        <w:separator/>
      </w:r>
    </w:p>
  </w:footnote>
  <w:footnote w:type="continuationSeparator" w:id="0">
    <w:p w:rsidR="00BA7AC8" w:rsidRDefault="00BA7AC8" w:rsidP="00013836">
      <w:r>
        <w:continuationSeparator/>
      </w:r>
    </w:p>
  </w:footnote>
  <w:footnote w:id="1">
    <w:p w:rsidR="00013836" w:rsidRDefault="00013836" w:rsidP="00013836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</w:rPr>
        <w:t>1 змістовий модуль = 15 годин (0,5 кредита</w:t>
      </w:r>
      <w:r>
        <w:rPr>
          <w:b/>
          <w:sz w:val="22"/>
          <w:szCs w:val="22"/>
        </w:rPr>
        <w:t xml:space="preserve"> EС</w:t>
      </w:r>
      <w:r w:rsidRPr="000F48AB">
        <w:rPr>
          <w:b/>
          <w:sz w:val="22"/>
          <w:szCs w:val="22"/>
        </w:rPr>
        <w:t>TS)</w:t>
      </w:r>
      <w:r>
        <w:rPr>
          <w:b/>
          <w:sz w:val="22"/>
          <w:szCs w:val="22"/>
        </w:rPr>
        <w:t>. Детальна формула розрахунку – в рекомендаціях.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Cs w:val="28"/>
        <w:lang w:val="uk-UA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Cs w:val="28"/>
      </w:rPr>
    </w:lvl>
  </w:abstractNum>
  <w:abstractNum w:abstractNumId="3">
    <w:nsid w:val="06841F8A"/>
    <w:multiLevelType w:val="hybridMultilevel"/>
    <w:tmpl w:val="2FD21A20"/>
    <w:lvl w:ilvl="0" w:tplc="5742F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6DE715B"/>
    <w:multiLevelType w:val="hybridMultilevel"/>
    <w:tmpl w:val="1B0C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241E1"/>
    <w:multiLevelType w:val="multilevel"/>
    <w:tmpl w:val="DCD0B5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>
    <w:nsid w:val="2D350155"/>
    <w:multiLevelType w:val="hybridMultilevel"/>
    <w:tmpl w:val="EAA685BA"/>
    <w:lvl w:ilvl="0" w:tplc="B51803C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35E61FF"/>
    <w:multiLevelType w:val="hybridMultilevel"/>
    <w:tmpl w:val="7988B108"/>
    <w:lvl w:ilvl="0" w:tplc="D97A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8364C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D8D27BB"/>
    <w:multiLevelType w:val="multilevel"/>
    <w:tmpl w:val="DCD0B5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">
    <w:nsid w:val="611F2D6F"/>
    <w:multiLevelType w:val="hybridMultilevel"/>
    <w:tmpl w:val="69E4E212"/>
    <w:lvl w:ilvl="0" w:tplc="5742F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717888"/>
    <w:multiLevelType w:val="hybridMultilevel"/>
    <w:tmpl w:val="34E8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91519"/>
    <w:multiLevelType w:val="hybridMultilevel"/>
    <w:tmpl w:val="381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725D6"/>
    <w:multiLevelType w:val="hybridMultilevel"/>
    <w:tmpl w:val="7B10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DB"/>
    <w:rsid w:val="00013836"/>
    <w:rsid w:val="003B02FA"/>
    <w:rsid w:val="004905D4"/>
    <w:rsid w:val="006112BB"/>
    <w:rsid w:val="006B0329"/>
    <w:rsid w:val="008F2CF5"/>
    <w:rsid w:val="00AD6C0A"/>
    <w:rsid w:val="00BA7AC8"/>
    <w:rsid w:val="00F8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013836"/>
    <w:pPr>
      <w:keepNext/>
      <w:tabs>
        <w:tab w:val="num" w:pos="2138"/>
        <w:tab w:val="num" w:pos="4262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83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semiHidden/>
    <w:unhideWhenUsed/>
    <w:rsid w:val="00013836"/>
    <w:rPr>
      <w:rFonts w:ascii="Times New Roman" w:hAnsi="Times New Roman" w:cs="Times New Roman" w:hint="default"/>
      <w:color w:val="0066CC"/>
      <w:u w:val="single"/>
    </w:rPr>
  </w:style>
  <w:style w:type="paragraph" w:customStyle="1" w:styleId="Style37">
    <w:name w:val="Style37"/>
    <w:basedOn w:val="a"/>
    <w:uiPriority w:val="99"/>
    <w:rsid w:val="00013836"/>
    <w:pPr>
      <w:widowControl w:val="0"/>
      <w:suppressAutoHyphens w:val="0"/>
      <w:autoSpaceDE w:val="0"/>
      <w:autoSpaceDN w:val="0"/>
      <w:adjustRightInd w:val="0"/>
      <w:spacing w:line="326" w:lineRule="exact"/>
      <w:ind w:firstLine="571"/>
      <w:jc w:val="both"/>
    </w:pPr>
    <w:rPr>
      <w:lang w:val="ru-RU" w:eastAsia="ru-RU"/>
    </w:rPr>
  </w:style>
  <w:style w:type="paragraph" w:customStyle="1" w:styleId="a4">
    <w:name w:val="РНП_Тема"/>
    <w:basedOn w:val="a"/>
    <w:rsid w:val="00013836"/>
    <w:pPr>
      <w:tabs>
        <w:tab w:val="num" w:pos="720"/>
      </w:tabs>
      <w:suppressAutoHyphens w:val="0"/>
      <w:spacing w:line="360" w:lineRule="auto"/>
      <w:ind w:left="720" w:hanging="360"/>
    </w:pPr>
    <w:rPr>
      <w:b/>
      <w:sz w:val="28"/>
      <w:szCs w:val="20"/>
    </w:rPr>
  </w:style>
  <w:style w:type="character" w:customStyle="1" w:styleId="s1">
    <w:name w:val="s1"/>
    <w:uiPriority w:val="99"/>
    <w:rsid w:val="00013836"/>
  </w:style>
  <w:style w:type="paragraph" w:styleId="a5">
    <w:name w:val="footnote text"/>
    <w:basedOn w:val="a"/>
    <w:link w:val="1"/>
    <w:uiPriority w:val="99"/>
    <w:semiHidden/>
    <w:rsid w:val="00013836"/>
    <w:pPr>
      <w:suppressAutoHyphens w:val="0"/>
    </w:pPr>
    <w:rPr>
      <w:rFonts w:eastAsia="MS Mincho"/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01383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13836"/>
    <w:rPr>
      <w:rFonts w:ascii="Times New Roman" w:eastAsia="MS Mincho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rsid w:val="00013836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1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112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ar-SA"/>
    </w:rPr>
  </w:style>
  <w:style w:type="paragraph" w:styleId="a8">
    <w:name w:val="Normal (Web)"/>
    <w:basedOn w:val="a"/>
    <w:semiHidden/>
    <w:unhideWhenUsed/>
    <w:rsid w:val="006112B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"/>
    <w:basedOn w:val="a"/>
    <w:link w:val="aa"/>
    <w:unhideWhenUsed/>
    <w:rsid w:val="006112BB"/>
    <w:pPr>
      <w:suppressAutoHyphens w:val="0"/>
      <w:spacing w:after="120"/>
    </w:pPr>
    <w:rPr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6112BB"/>
    <w:pPr>
      <w:suppressAutoHyphens w:val="0"/>
      <w:spacing w:after="120"/>
      <w:ind w:left="283"/>
    </w:pPr>
    <w:rPr>
      <w:sz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2BB"/>
    <w:pPr>
      <w:suppressAutoHyphens w:val="0"/>
      <w:spacing w:after="120" w:line="480" w:lineRule="auto"/>
      <w:ind w:left="283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uiPriority w:val="99"/>
    <w:rsid w:val="006112B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112B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0">
    <w:name w:val="Font Style60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5">
    <w:name w:val="Font Style65"/>
    <w:rsid w:val="006112BB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6">
    <w:name w:val="Font Style26"/>
    <w:rsid w:val="006112B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013836"/>
    <w:pPr>
      <w:keepNext/>
      <w:tabs>
        <w:tab w:val="num" w:pos="2138"/>
        <w:tab w:val="num" w:pos="4262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83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semiHidden/>
    <w:unhideWhenUsed/>
    <w:rsid w:val="00013836"/>
    <w:rPr>
      <w:rFonts w:ascii="Times New Roman" w:hAnsi="Times New Roman" w:cs="Times New Roman" w:hint="default"/>
      <w:color w:val="0066CC"/>
      <w:u w:val="single"/>
    </w:rPr>
  </w:style>
  <w:style w:type="paragraph" w:customStyle="1" w:styleId="Style37">
    <w:name w:val="Style37"/>
    <w:basedOn w:val="a"/>
    <w:uiPriority w:val="99"/>
    <w:rsid w:val="00013836"/>
    <w:pPr>
      <w:widowControl w:val="0"/>
      <w:suppressAutoHyphens w:val="0"/>
      <w:autoSpaceDE w:val="0"/>
      <w:autoSpaceDN w:val="0"/>
      <w:adjustRightInd w:val="0"/>
      <w:spacing w:line="326" w:lineRule="exact"/>
      <w:ind w:firstLine="571"/>
      <w:jc w:val="both"/>
    </w:pPr>
    <w:rPr>
      <w:lang w:val="ru-RU" w:eastAsia="ru-RU"/>
    </w:rPr>
  </w:style>
  <w:style w:type="paragraph" w:customStyle="1" w:styleId="a4">
    <w:name w:val="РНП_Тема"/>
    <w:basedOn w:val="a"/>
    <w:rsid w:val="00013836"/>
    <w:pPr>
      <w:tabs>
        <w:tab w:val="num" w:pos="720"/>
      </w:tabs>
      <w:suppressAutoHyphens w:val="0"/>
      <w:spacing w:line="360" w:lineRule="auto"/>
      <w:ind w:left="720" w:hanging="360"/>
    </w:pPr>
    <w:rPr>
      <w:b/>
      <w:sz w:val="28"/>
      <w:szCs w:val="20"/>
    </w:rPr>
  </w:style>
  <w:style w:type="character" w:customStyle="1" w:styleId="s1">
    <w:name w:val="s1"/>
    <w:uiPriority w:val="99"/>
    <w:rsid w:val="00013836"/>
  </w:style>
  <w:style w:type="paragraph" w:styleId="a5">
    <w:name w:val="footnote text"/>
    <w:basedOn w:val="a"/>
    <w:link w:val="1"/>
    <w:uiPriority w:val="99"/>
    <w:semiHidden/>
    <w:rsid w:val="00013836"/>
    <w:pPr>
      <w:suppressAutoHyphens w:val="0"/>
    </w:pPr>
    <w:rPr>
      <w:rFonts w:eastAsia="MS Mincho"/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01383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13836"/>
    <w:rPr>
      <w:rFonts w:ascii="Times New Roman" w:eastAsia="MS Mincho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rsid w:val="00013836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1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112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ar-SA"/>
    </w:rPr>
  </w:style>
  <w:style w:type="paragraph" w:styleId="a8">
    <w:name w:val="Normal (Web)"/>
    <w:basedOn w:val="a"/>
    <w:semiHidden/>
    <w:unhideWhenUsed/>
    <w:rsid w:val="006112B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"/>
    <w:basedOn w:val="a"/>
    <w:link w:val="aa"/>
    <w:unhideWhenUsed/>
    <w:rsid w:val="006112BB"/>
    <w:pPr>
      <w:suppressAutoHyphens w:val="0"/>
      <w:spacing w:after="120"/>
    </w:pPr>
    <w:rPr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6112BB"/>
    <w:pPr>
      <w:suppressAutoHyphens w:val="0"/>
      <w:spacing w:after="120"/>
      <w:ind w:left="283"/>
    </w:pPr>
    <w:rPr>
      <w:sz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2BB"/>
    <w:pPr>
      <w:suppressAutoHyphens w:val="0"/>
      <w:spacing w:after="120" w:line="480" w:lineRule="auto"/>
      <w:ind w:left="283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uiPriority w:val="99"/>
    <w:rsid w:val="006112B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112B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0">
    <w:name w:val="Font Style60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5">
    <w:name w:val="Font Style65"/>
    <w:rsid w:val="006112BB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6">
    <w:name w:val="Font Style26"/>
    <w:rsid w:val="006112B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e.com.ua/" TargetMode="External"/><Relationship Id="rId13" Type="http://schemas.openxmlformats.org/officeDocument/2006/relationships/hyperlink" Target="http://www.sta.go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ac.org-/" TargetMode="External"/><Relationship Id="rId17" Type="http://schemas.openxmlformats.org/officeDocument/2006/relationships/hyperlink" Target="http://www.gdo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nai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gow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.kiev.ua/" TargetMode="External"/><Relationship Id="rId10" Type="http://schemas.openxmlformats.org/officeDocument/2006/relationships/hyperlink" Target="http://www.kmu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ukcc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D9DC-A64A-4269-9C63-BAE40C1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 5. Документальна перевірка розрахункових операцій.</vt:lpstr>
      <vt:lpstr>        </vt:lpstr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2020-09-16T17:24:00Z</dcterms:created>
  <dcterms:modified xsi:type="dcterms:W3CDTF">2020-11-07T15:41:00Z</dcterms:modified>
</cp:coreProperties>
</file>