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A0" w:rsidRPr="00556BA0" w:rsidRDefault="00556BA0" w:rsidP="00556BA0">
      <w:pPr>
        <w:shd w:val="clear" w:color="auto" w:fill="FFFFFF"/>
        <w:spacing w:after="0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color w:val="353434"/>
          <w:sz w:val="36"/>
          <w:szCs w:val="36"/>
          <w:lang w:eastAsia="ru-RU"/>
        </w:rPr>
      </w:pPr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19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посилань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, на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варто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варто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звернути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увагу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тим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хто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хоче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писати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художні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репортажі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, та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тим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хто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просто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хоче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краще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зрозуміти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>цей</w:t>
      </w:r>
      <w:proofErr w:type="spellEnd"/>
      <w:r w:rsidRPr="00556BA0">
        <w:rPr>
          <w:rFonts w:ascii="inherit" w:eastAsia="Times New Roman" w:hAnsi="inherit" w:cs="Times New Roman"/>
          <w:b/>
          <w:bCs/>
          <w:color w:val="353434"/>
          <w:sz w:val="30"/>
          <w:szCs w:val="30"/>
          <w:bdr w:val="none" w:sz="0" w:space="0" w:color="auto" w:frame="1"/>
          <w:lang w:eastAsia="ru-RU"/>
        </w:rPr>
        <w:t xml:space="preserve"> жанр: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Головне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репортажне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медіа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країни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—  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begin"/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instrText xml:space="preserve"> HYPERLINK "http://www.reporters.media/" </w:instrTex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separate"/>
      </w:r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Reporters</w:t>
      </w:r>
      <w:proofErr w:type="spellEnd"/>
      <w:proofErr w:type="gram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.</w: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end"/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Тут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можна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прочитати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десятки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справді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класних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художніх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Посібник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Reporters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 — </w:t>
      </w:r>
      <w:hyperlink r:id="rId5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«Репортаж </w:t>
        </w:r>
        <w:r w:rsidRPr="00556BA0">
          <w:rPr>
            <w:rFonts w:ascii="inherit" w:eastAsia="Times New Roman" w:hAnsi="inherit" w:cs="Arial"/>
            <w:i/>
            <w:iCs/>
            <w:color w:val="4169E1"/>
            <w:sz w:val="24"/>
            <w:szCs w:val="24"/>
            <w:bdr w:val="none" w:sz="0" w:space="0" w:color="auto" w:frame="1"/>
            <w:lang w:eastAsia="ru-RU"/>
          </w:rPr>
          <w:t>&amp;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крапка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».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Це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25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порад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і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трохи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більше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історій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для тих,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хто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планує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або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вже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пише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художні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репортажі</w:t>
        </w:r>
        <w:proofErr w:type="spellEnd"/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Переможці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Самовидця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»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різних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років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розповідають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як і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писати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художні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де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шукати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теми, як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спілкуватися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героями,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існують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проблеми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стилю та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речі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Читайте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матеріалі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кураторки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конкурсу </w:t>
      </w:r>
      <w:proofErr w:type="spellStart"/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Марії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 Семенченко</w:t>
      </w:r>
      <w:proofErr w:type="gram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hyperlink r:id="rId6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Географія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змін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у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фокусі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художнього репортажу»</w:t>
        </w:r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Величність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Деталь, метафору-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інтригу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ампліфікацію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масштабування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важливі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цікаві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стилістичні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прийоми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читайте у </w:t>
      </w:r>
      <w:proofErr w:type="spellStart"/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матеріалі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Марії</w:t>
      </w:r>
      <w:proofErr w:type="spellEnd"/>
      <w:proofErr w:type="gram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Титаренко </w:t>
      </w:r>
      <w:hyperlink r:id="rId7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Ключі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до нон-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фікшну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: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правдивіше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за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реальність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».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мультиперспективізм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багатоголосся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мистецтво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перевтілення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несподівані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ракурси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ґонзо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сенсибельність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авторів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активно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використовували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використовують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прийоми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своїх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текстах – читайте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матеріалі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Марії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Титаренко </w:t>
      </w:r>
      <w:hyperlink r:id="rId8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Ключі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до нон-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фікшну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: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мистецтво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змінити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ракурс</w:t>
        </w:r>
        <w:proofErr w:type="gram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» .</w:t>
        </w:r>
        <w:proofErr w:type="gramEnd"/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художнє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вміння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авторів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поєднувати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цеглинки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фактів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цементу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художніх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прийомів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використання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романних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технік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нон-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фікшні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також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порівнянь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паралелей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портретування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героїв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рамкування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закільцювання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тексту, про голу правду, яка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вбити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тексті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Марії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Титаренко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begin"/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instrText xml:space="preserve"> HYPERLINK "http://litakcent.com/2018/03/01/klyuchi-do-non-fikshnu-yak-u-romani-abo-klondayk-faktur-i-personazhiv/" </w:instrTex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separate"/>
      </w:r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Ключі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 xml:space="preserve"> до нон-</w:t>
      </w:r>
      <w:proofErr w:type="spellStart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фікшну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 xml:space="preserve">: як у </w:t>
      </w:r>
      <w:proofErr w:type="spellStart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романі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 xml:space="preserve"> Клондайк фактур і </w:t>
      </w:r>
      <w:proofErr w:type="spellStart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персонажів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».</w: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end"/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складність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балансування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між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фактом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вигадкою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художньому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 про не/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допустимість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домислу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непередбачуваність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польську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школу репортажу читайте в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тексті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Анни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Ютченко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hyperlink r:id="rId9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Художній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репортаж: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між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фактом і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вигадкою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».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Про правило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трьох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«С» художнього репортажу та те,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робить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репортаж репортажем – читайте у </w:t>
      </w:r>
      <w:proofErr w:type="spellStart"/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тексті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 </w:t>
      </w:r>
      <w:hyperlink r:id="rId10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proofErr w:type="gram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Глибина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і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післясмак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Марічка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Паплаускайте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– про те, як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написати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хороший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художній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репортаж».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hyperlink r:id="rId11" w:history="1"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Інтерв’ю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з легендою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польського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репортажу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Ганною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Кралль</w:t>
        </w:r>
        <w:proofErr w:type="spellEnd"/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ньому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всесвітньовідома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авторка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перекладені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76-ма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мовами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)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розповідає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роботу над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художніми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репортажами,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подорожі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часі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Великого Сценариста і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вміння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світові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себе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заглушити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репортерок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один репортер — 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війну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больові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точки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історії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роботу в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інших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культурних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середовищах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Читайте у </w:t>
      </w:r>
      <w:proofErr w:type="spellStart"/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тексті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hyperlink r:id="rId12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 «</w:t>
        </w:r>
        <w:proofErr w:type="gram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Не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існує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історій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які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неможливо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було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б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розповісти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».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Письменниця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Ольга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r w:rsidRPr="00556BA0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— </w:t>
      </w:r>
      <w:hyperlink r:id="rId13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про свою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дебютну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книжку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репортажів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«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Рибка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дядечка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Завена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»,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родинні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історії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та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нетуристичну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Вірменію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Переможниця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шостого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Самовидця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»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Гаяне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Авакян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— </w:t>
      </w:r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про 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життя</w:t>
      </w:r>
      <w:proofErr w:type="spellEnd"/>
      <w:proofErr w:type="gram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роботу в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окупації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особисту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відповідальність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журналістів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свій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репортаж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Подарунок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для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мами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». Читайте 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begin"/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instrText xml:space="preserve"> HYPERLINK "http://litakcent.com/2019/02/18/gayane-avakyan-globalno-bud-yakiy-tekst-pro-viynu-tse-tekst-proti-viyni/" </w:instrTex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separate"/>
      </w:r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інтерв’ю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 xml:space="preserve"> тут</w: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end"/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hyperlink r:id="rId14" w:history="1"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Вихідний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фру Президент.</w:t>
        </w:r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Уривок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із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Ярослави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Куцай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Лабораторія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Ісландія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hyperlink r:id="rId15" w:history="1"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Агасі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хац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і лаваш.</w:t>
        </w:r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Уривок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із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Ольги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Рибка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дядечка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Завена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hyperlink r:id="rId16" w:history="1"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Червоні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зони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proofErr w:type="spellStart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Курдюмівка</w:t>
        </w:r>
        <w:proofErr w:type="spellEnd"/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.</w:t>
        </w:r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Уривок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із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Єлізавети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Гончарової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«(Не)воля».</w:t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Олеся Яремчук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розпитала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відомого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польського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репортажиста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письменника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Войцеха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Ґурецького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книжковий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триптих — «Планета Кавказ», «Тост за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предків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 та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Абхазія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».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Інтерв’ю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читайте </w:t>
      </w:r>
      <w:hyperlink r:id="rId17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тут.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>Розмова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польською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репортеркою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Малгожатою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Реймер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міста-метафори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занурення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особистість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співрозмовника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нову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книжку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Албанію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стіни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доводиться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розбивати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репортеру. </w:t>
      </w:r>
      <w:hyperlink r:id="rId18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Читайте тут.</w:t>
        </w:r>
      </w:hyperlink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Олеся Яремчук записала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розмову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Катажиною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Квятковською-Москалевич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авторкою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книжки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Вбити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дракона.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Українські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революції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».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близькість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Україною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«дубль два» у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пошук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героїв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відсутність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геппі-ендів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— 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begin"/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instrText xml:space="preserve"> HYPERLINK "http://litakcent.com/2017/08/28/katazhina-kvyatkovska-moskalevich-napisannya-knizhki-pro-ukrayinu-mene-zminilo/?fbclid=IwAR1_0gTRTVH0XmovDWlb2rff71fRB0L_XMZEgUPR_h-Kq8obO3bBCSMY1fc" </w:instrTex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separate"/>
      </w:r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>читате</w:t>
      </w:r>
      <w:proofErr w:type="spellEnd"/>
      <w:r w:rsidRPr="00556BA0">
        <w:rPr>
          <w:rFonts w:ascii="inherit" w:eastAsia="Times New Roman" w:hAnsi="inherit" w:cs="Arial"/>
          <w:color w:val="4169E1"/>
          <w:sz w:val="24"/>
          <w:szCs w:val="24"/>
          <w:bdr w:val="none" w:sz="0" w:space="0" w:color="auto" w:frame="1"/>
          <w:lang w:eastAsia="ru-RU"/>
        </w:rPr>
        <w:t xml:space="preserve"> тут.</w:t>
      </w: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fldChar w:fldCharType="end"/>
      </w:r>
    </w:p>
    <w:p w:rsidR="00556BA0" w:rsidRPr="00556BA0" w:rsidRDefault="00556BA0" w:rsidP="00556B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Олеся Яремчук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розпитала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польського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репортажиста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Пьотра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Ібрагіма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Кальваса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роботу над книгою </w:t>
      </w:r>
      <w:proofErr w:type="spellStart"/>
      <w:proofErr w:type="gram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репортажів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 «</w:t>
      </w:r>
      <w:proofErr w:type="spellStart"/>
      <w:proofErr w:type="gram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Єгипет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харам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халяль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». </w:t>
      </w:r>
      <w:proofErr w:type="spellStart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Розмову</w:t>
      </w:r>
      <w:proofErr w:type="spellEnd"/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читайте </w:t>
      </w:r>
      <w:hyperlink r:id="rId19" w:history="1">
        <w:r w:rsidRPr="00556BA0">
          <w:rPr>
            <w:rFonts w:ascii="inherit" w:eastAsia="Times New Roman" w:hAnsi="inherit" w:cs="Arial"/>
            <w:color w:val="4169E1"/>
            <w:sz w:val="24"/>
            <w:szCs w:val="24"/>
            <w:bdr w:val="none" w:sz="0" w:space="0" w:color="auto" w:frame="1"/>
            <w:lang w:eastAsia="ru-RU"/>
          </w:rPr>
          <w:t>тут</w:t>
        </w:r>
      </w:hyperlink>
      <w:r w:rsidRPr="00556BA0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556BA0" w:rsidRPr="00556BA0" w:rsidRDefault="00556BA0" w:rsidP="00556B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556BA0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1C085DEA" wp14:editId="691F9EA0">
            <wp:extent cx="952500" cy="638175"/>
            <wp:effectExtent l="0" t="0" r="0" b="9525"/>
            <wp:docPr id="1" name="Рисунок 1" descr="Марія Семен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ія Семенченк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A0" w:rsidRPr="00556BA0" w:rsidRDefault="00556BA0" w:rsidP="00556B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hyperlink r:id="rId21" w:tooltip="Записи автора Марія Семенченко" w:history="1">
        <w:proofErr w:type="spellStart"/>
        <w:r w:rsidRPr="00556BA0">
          <w:rPr>
            <w:rFonts w:ascii="inherit" w:eastAsia="Times New Roman" w:hAnsi="inherit" w:cs="Arial"/>
            <w:b/>
            <w:bCs/>
            <w:color w:val="4169E1"/>
            <w:sz w:val="24"/>
            <w:szCs w:val="24"/>
            <w:bdr w:val="none" w:sz="0" w:space="0" w:color="auto" w:frame="1"/>
            <w:lang w:eastAsia="ru-RU"/>
          </w:rPr>
          <w:t>Марія</w:t>
        </w:r>
        <w:proofErr w:type="spellEnd"/>
        <w:r w:rsidRPr="00556BA0">
          <w:rPr>
            <w:rFonts w:ascii="inherit" w:eastAsia="Times New Roman" w:hAnsi="inherit" w:cs="Arial"/>
            <w:b/>
            <w:bCs/>
            <w:color w:val="4169E1"/>
            <w:sz w:val="24"/>
            <w:szCs w:val="24"/>
            <w:bdr w:val="none" w:sz="0" w:space="0" w:color="auto" w:frame="1"/>
            <w:lang w:eastAsia="ru-RU"/>
          </w:rPr>
          <w:t xml:space="preserve"> Семенченко</w:t>
        </w:r>
      </w:hyperlink>
    </w:p>
    <w:p w:rsidR="00556BA0" w:rsidRPr="00556BA0" w:rsidRDefault="00556BA0" w:rsidP="00556BA0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19"/>
          <w:szCs w:val="19"/>
          <w:lang w:eastAsia="ru-RU"/>
        </w:rPr>
      </w:pP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Марія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Семенченко –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журналістка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репортерка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,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кураторка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конкурсу художнього репортажу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імені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Майка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Йогансена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Самовидець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».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Закінчила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Могилянську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школу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журналістики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. До 2016 року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працювала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редактором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відділу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«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Суспільство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»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щоденної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всеукраїнської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газети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«День».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Пише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для низки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українських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видань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.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Серед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професійних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зацікавлень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–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суспільна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тематика, а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відтак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–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людські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 xml:space="preserve"> </w:t>
      </w:r>
      <w:proofErr w:type="spellStart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історії</w:t>
      </w:r>
      <w:proofErr w:type="spellEnd"/>
      <w:r w:rsidRPr="00556BA0">
        <w:rPr>
          <w:rFonts w:ascii="inherit" w:eastAsia="Times New Roman" w:hAnsi="inherit" w:cs="Arial"/>
          <w:color w:val="404040"/>
          <w:sz w:val="19"/>
          <w:szCs w:val="19"/>
          <w:lang w:eastAsia="ru-RU"/>
        </w:rPr>
        <w:t>.</w:t>
      </w:r>
    </w:p>
    <w:p w:rsidR="009E366A" w:rsidRPr="00556BA0" w:rsidRDefault="00556BA0" w:rsidP="009E36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r w:rsidRPr="00556BA0">
        <w:rPr>
          <w:rFonts w:ascii="Times New Roman" w:hAnsi="Times New Roman" w:cs="Times New Roman"/>
          <w:sz w:val="28"/>
          <w:szCs w:val="28"/>
          <w:lang w:val="uk-UA"/>
        </w:rPr>
        <w:t>http://litakcent.com/2020/01/08/hudozhniy-chi-reportazh/</w:t>
      </w:r>
      <w:bookmarkStart w:id="0" w:name="_GoBack"/>
      <w:bookmarkEnd w:id="0"/>
    </w:p>
    <w:sectPr w:rsidR="009E366A" w:rsidRPr="0055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86F2B"/>
    <w:multiLevelType w:val="multilevel"/>
    <w:tmpl w:val="227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6A"/>
    <w:rsid w:val="00070D8D"/>
    <w:rsid w:val="00556BA0"/>
    <w:rsid w:val="009E366A"/>
    <w:rsid w:val="009F10CD"/>
    <w:rsid w:val="00AF0BFE"/>
    <w:rsid w:val="00B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98DA8-E9F4-4131-BA09-B0793CD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392">
          <w:marLeft w:val="-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akcent.com/2017/06/01/klyuchi-do-non-fikshnu-mistetstvo-zminiti-rakurs/?fbclid=IwAR3f1hJDTjpZQpRBo6ECl7fhnmUwqY1qGAeWnIesgGnpbnN3mlPEHGyhAKY" TargetMode="External"/><Relationship Id="rId13" Type="http://schemas.openxmlformats.org/officeDocument/2006/relationships/hyperlink" Target="http://litakcent.com/2019/12/16/olga-kari-robota-nad-knizhkoyu-dala-meni-naygolovnishe-movu-y-identichnist_2/" TargetMode="External"/><Relationship Id="rId18" Type="http://schemas.openxmlformats.org/officeDocument/2006/relationships/hyperlink" Target="http://litakcent.com/2017/07/24/malggozhata-reymer-ya-zanuryuyus-u-mista-zadlya-rozpovidi-pro-lyudey/?fbclid=IwAR1nFAU-CiINyeMXDPUVm0N492MYXhwwvj1rmlw4Ku2bMp-Q__6l7UvVLN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akcent.com/author/marija-semenchenko/" TargetMode="External"/><Relationship Id="rId7" Type="http://schemas.openxmlformats.org/officeDocument/2006/relationships/hyperlink" Target="http://litakcent.com/2017/01/13/kljuchi-do-non-fikshnu-pravdyvishe-za-realnist/?fbclid=IwAR0vAHYV21n2sBjiQJI0uiEW_EriPUDtZnAx1dt2GrcKfjBFY3k509y1RHc" TargetMode="External"/><Relationship Id="rId12" Type="http://schemas.openxmlformats.org/officeDocument/2006/relationships/hyperlink" Target="http://litakcent.com/2019/11/28/ne-isnuye-istoriy-yaki-nemozhlivo-bulo-b-rozpovisti/" TargetMode="External"/><Relationship Id="rId17" Type="http://schemas.openxmlformats.org/officeDocument/2006/relationships/hyperlink" Target="http://litakcent.com/2017/10/24/voytseh-guretskiy-usi-viyni-na-kavkazi-viyni-za-pam-yat/?fbclid=IwAR1kQEdeCS9GgLe7MDdepE0dCep_wX7vl-p2wdDZvD1lZC0YGdPc2KaGJ9w\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akcent.com/2019/09/27/chervoni-zoni-kurdyumivka-urivok-iz-knizhki-reportazhiv-yelizaveti-goncharovoyi-ne-volya_4/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litakcent.com/2017/05/24/geografiya-zmin-u-fokusi-hudozhnogo-reportazhu/?fbclid=IwAR2aWvxR_fMWI17OfWacnm-bW38bnWgfJka59lgggbe-kJFY2JuWTK-ffg0" TargetMode="External"/><Relationship Id="rId11" Type="http://schemas.openxmlformats.org/officeDocument/2006/relationships/hyperlink" Target="http://litakcent.com/2017/12/11/ganna-krall-nayvazhlivishe-ne-dozvoliti-svitu-zaglushiti-sebe/?fbclid=IwAR1Cnpzc-3JuWLxvUspBbk8-y4GaRORNjfoo0HIaoPA-GlK2xUHlmT-psSw" TargetMode="External"/><Relationship Id="rId5" Type="http://schemas.openxmlformats.org/officeDocument/2006/relationships/hyperlink" Target="http://posibnyk.reporters.media/?fbclid=IwAR3XDSNO3bJpvD0mX21mKlImeXpB7YyizI-7V0SxHC5sDFYm1tcuiLIJl4g" TargetMode="External"/><Relationship Id="rId15" Type="http://schemas.openxmlformats.org/officeDocument/2006/relationships/hyperlink" Target="http://litakcent.com/2019/10/26/agasi-hats-i-lavash-urivok-iz-knizhki-reportazhiv-olgi-kari-ribka-dyadechka-zavena_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takcent.com/2018/05/24/glibina-i-pislyasmak-marichka-paplauskayte-pro-te-yak-napisati-horoshiy-hudozhniy-reportazh/" TargetMode="External"/><Relationship Id="rId19" Type="http://schemas.openxmlformats.org/officeDocument/2006/relationships/hyperlink" Target="http://litakcent.com/2018/07/24/sam-sobi-chuzhiy-rozmova-z-potrom-ibragimom-kalvas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akcent.com/2017/12/28/hudozhniy-reportazh-mizh-faktom-i-vigadkoyu/?fbclid=IwAR2P8X-EBOozCdf_hU55a6b3XwuWPkxRhP_-_-u1lHxGjT9VpZbfffNsz5Q" TargetMode="External"/><Relationship Id="rId14" Type="http://schemas.openxmlformats.org/officeDocument/2006/relationships/hyperlink" Target="http://litakcent.com/2019/09/15/vihidniy-fru-prezident-urivok-z-knizhki-reportazhiv-yaroslavi-kutsay-laboratoriya-islandiy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2020-11-26T01:18:00Z</dcterms:created>
  <dcterms:modified xsi:type="dcterms:W3CDTF">2021-09-05T21:10:00Z</dcterms:modified>
</cp:coreProperties>
</file>