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26" w:rsidRDefault="003A1C26" w:rsidP="003A1C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Тема 8 </w:t>
      </w: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Використання результатів оперативно-розшукової діяльності в процесі доказування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val="uk-UA" w:eastAsia="ru-RU"/>
        </w:rPr>
        <w:t xml:space="preserve">Під результатами оперативно-розшукової діяльності слід розуміти </w:t>
      </w:r>
      <w:r w:rsidRPr="003A1C26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val="uk-UA" w:eastAsia="ru-RU"/>
        </w:rPr>
        <w:t xml:space="preserve">фактичні дані, отримані оперативними підрозділами при проведенні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val="uk-UA" w:eastAsia="ru-RU"/>
        </w:rPr>
        <w:t xml:space="preserve"> в у встановленому законом порядку щодо виявлення ознак злочину, осіб що вчинили злочин або готувалися до його вчинення, ухиляються від органів дізнання, слідства, суду, від органів кримінального покарання, безвісті зниклих, а також щодо подій або дій, що створюють небезпеку, зафіксовані на матеріальному носії і мають значення для вирішення завдань кримінального судочинства.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Формування результатів оперативно-розшукової діяльності відбувається в процесі проведення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і вони реалізуються у напрям к ах (формах), які прямо вказані у ст. 10 Закону Про оперативно-розшукову діяльність, де зазначається, що матеріали оперативно-розшукової діяльності використовуються: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1. Як приводи та підстави для порушення кримінальної справи або проведення невідкладних слідчих дій.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2. Для отримання фактичних даних, які можуть бути доказами у кримінальній справі для 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3. Для попередження, припинення і розслідування злочинів, розвідувально-підривних посягань проти України, розшуку злочинців та осіб, які зникли безвісти.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4. Для забезпечення безпеки працівників суду і правоохоронних органів та осіб, які беруть участь у кримінальному судочинстві, членів їх сімей та близьких родичів цих осіб.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5. Для взаємного інформування підрозділів, уповноважених здійснювати оперативно-розшукову діяльність, та інших правоохоронних органів.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lastRenderedPageBreak/>
        <w:t>Використання результатів оперативно-розшукової діяльності як приводів і підстав для порушення кримінальної справи або проведення невідкладних слідчих дій а також для отримання фактичних даних, які можуть бути доказами у кримінальній справі має не тільки оперативно-розшуковий, але й кримінально-процесуальний характер.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Результати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можуть використовуватися як приводи і підстави для порушення кримінальної і справи і в доказуванні тільки у тих випадках, коли вони відповідають таким вимогам: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- належності результатів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до конкретної кримінальної справи;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- законності проведення відповідних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;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- дотримання положень кримінально-процесуального законодавства, що визначають роботу з доказами, порядок і підстави порушення кримінальної справи4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- забезпечення режиму таємності.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Належність означає, що між отриманими оперативним шляхом відомостями і конкретним злочином повинен бути тісний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зв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язок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. Тому результати оперативно-розшукової діяльності повинну бути підставою для вирішення питання про порушення кримінальної справи і проведення невідкладних слідчих дій.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При визначенні законності здійснення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необхідно впевнитися в тому, що вони проведені відповідно до оперативно-розшукового законодавства і у такому порядку, що їх результати відповідно до вимог кримінально-процесуального законодавства, що регламентує порядок виявлення, перевірки і оцінки доказів, а також порядок і підстави порушення кримінальної справи, можливо ввести у кримінальний процес 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lastRenderedPageBreak/>
        <w:t xml:space="preserve">Оперативно-розшукове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міроприємство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відповідає вимогам закону, якщо дотримані наступні умови: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- воно передбачено Законом Про оперативно-розшукову діяльність ;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- воно проведено з метою і для вирішення тих завдань, які зазначені у ст. Закону Про оперативно-розшукову діяльність ;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- воно проведено уповноваженим на то оперативним органом;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- підстави його проведення відповідають вказаним у ст.. Закону Про оперативно-розшукову діяльність ;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- є судове рішення на обмеження конституційних прав громадян – на таємницю листування, телеграфних і інших повідомлень, телефонних переговорів і недоторканності житла і іншого володіння особи;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- дотримані вимоги щодо наявності затвердженої відповідним керівником постанови про проведення контрольної закупки або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контролюємої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поставки предметів, речей і продукції, вільна реалізація яких заборонена або обмежена тощо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- дотримані умови проведення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відносно суддів, прокурорів, слідчих.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Забезпечення режиму таємності припускає передусім, чітке визначення об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єму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відомостей, що представляються. Відомості що представляються повинні відповідати двом вимогам. По-перше, вони повинні мати значення для вирішення завдань оперативно-розшукової діяльності, а по-друге, забезпечувати захист відомостей, що становлять державну таємницю. Оскільки згідно з ч. 2 ст.11 Закону Про оперативно-розшукову діяльність особам, які співпрацюють з органами, що ведуть оперативно-розшукову діяльність, гарантується конфіденційність відносин, а в Законі України Про державну таємницю вказується, що інформація про форми, методи і результати оперативно-розшукової діяльності, про осіб, які співпрацюють або раніше співпрацювали на конфіденційній основі з органами, що поводять оперативно-розшукову діяльність, про склад і конкретних осіб, що є </w:t>
      </w: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lastRenderedPageBreak/>
        <w:t>негласними штатними працівниками органів, що здійснюють оперативно-розшукову діяльність, належить до державної таємниці.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Відповідно до п. 5 ст. 94 КПК приводами до порушення кримінальної справи є: заяви або повідомлення підприємств, установ, організацій і посадових осіб, представників влади, громадськості або окремих громадян; повідомлення представників влади, громадськості або окремих громадян, які затримали підозрювану особу на місці вчинення злочину або з поличним; явка з повинною; повідомлення, опубліковані в пресі; безпосереднє виявлення органом дізнання, слідчим, прокурором, судом ознак злочину. Справа може бути порушена тільки в тих випадках, коли є достатні дані, які вказують на наявність ознак злочину.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Порушення кримінальної справи – це прийняття у встановленому законі порядку рішення щодо необхідності проведення розслідування або судового розгляду при наявності даних, що вказують на наявність події, що містить ознаки злочину.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Відповідно до ст. 113 КПК досудове слідство провадиться лише після порушення кримінальної справи і в порядку, передбаченому кримінально-процесуальним Кодексом. Таким чином проведення слідчих і інших процесуальних дій допускається тільки після порушення кримінальної справи.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Безпосереднє виявлення в процесі оперативно-розшукової діяльності ознак злочину розглядається як привід до порушення кримінальної справи лише тоді, коли керівник оперативного підрозділу, начальник органу дізнання або слідчий будуть впевнені у наявності достатніх даних для порушення кримінальної справи. Якщо для цього необхідно провести додаткову перевірку, то вона проводиться в рамках оперативно-розшукової діяльності, а не кримінально-процесуальної.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Заяви і повідомлення про злочини до порушення кримінальної справи можуть бути перевірені шляхом проведення оперативно-розшукової діяльності. Проведення визначених у законодавчих актах України окремих </w:t>
      </w: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lastRenderedPageBreak/>
        <w:t>оперативно-розшукових заходів проводиться з дозволу суду за погодженим з прокурором поданням керівника відповідного оперативного підрозділу або його заступника (ч. 5 ст. 97 КПК).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Проведення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у сфері боротьби із злочинністю направлено на отримання первинної інформації щодо злочинів і осіб, що їх вчинили, а такої їхня перевірка; виявлення осіб, поінформованих про обставини вчиненого злочину; виявлення предметів і документів, що зберегли на собі сліди злочину, а також грошей і цінностей, отриманих злочинним шляхом; забезпечення доказів злочинної діяльності, тобто створення умов, при яких сліди вчиненого злочину відображаються на джерелах, що допускаються кримінально-процесуальним законом.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У ході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можуть бути отримані дані щодо дій, які є підставами для проведення інших оперативно-розшукових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і наступного запобігання злочинної діяльності.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Слідчі дії – передбачені кримінально-процесуальним законом процесуальні дії, що проводяться органом дізнання, слідчим , прокурором для збирання і перевірки доказів. До них відносяться: допит, очна ставка, огляд, освідування виїмка, обшук, відтворення обстановки й обставин події,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пред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явлення для впізнання, одержання зразків для експертного дослідження.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За винятком огляду місця події, слідчі дії проводяться тільки після порушення кримінальної справи і тільки тим органом дізнання, слідчим або прокурором в провадженні яких знаходиться кримінальна справа. Без прийняття кримінальної справи до свого провадження слідчий має право на проведення слідчих дій в разі розслідування кримінальної справи групою слідчих або виконання окремого доручення (ст.ст. 119, 118 КПК).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Проведення слідчих дій можливе тільки за наявності вказаних у законі підстав і у порядку, регламентованому кримінально-процесуальним законом. Наприклад, обшук проводиться за мотивованою постановою слідчого і лише з санкції прокурора. Обшук житла або іншого володіння особи проводиться лише за рішенням судді. Підставою для проведення обшуку є достатні дані </w:t>
      </w: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lastRenderedPageBreak/>
        <w:t>вважати, що у якомусь приміщенні або у особи знаходяться знаряддя вчинення злочину, речі й цінності, здобуті злочинним шляхом тощо. Такими достатніми даними можна вважати і результати оперативно-розшукової діяльності.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В залежності від особливостей відображення у результатах оперативно-технічних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фактичних даних, що мають значення для справи, вони можуть вводитись у кримінальний процес і використовуватися в доказуванні різними процесуальними режимами.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Аудіо-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або відеозаписи, отримані в ході проведення оперативно-технічних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можуть на етапі досудового розслідування бути основою для формування речових доказів при дотримання наступних умов. Матеріальні носії повинні бути офіційно представлені органом, що проводив оперативно-розшукову діяльність. По чинному кримінально-процесуальному законодавству повинен бути складений протокол, у якому зазначаються місце і дата його складання, відомості про особу, що проводила цей оперативний захід, умови і обставини отримання, технічні характеристики апаратури. Отримані записи повинні бути оглянуті, прослухані і відповідно складений протокол огляду. Отримані дані повинні бути перевірені і оцінені, після чого слідчий постановою приєднує їх до справи. Таким чином речовим доказом стає не результати оперативно-розшукової діяльності, а результати слідчих дій.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Аудіо - або відеозаписи, отримані в ході проведення оперативно-технічних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, можуть стати основою для формування такого виду доказів, як висновок експерта. Для цього слідчий призначає, наприклад,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фоноскопічну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 експертизу. Для цього для ідентифікаційного дослідження у обвинуваченого повинні бути одержані зразки голосу.</w:t>
      </w:r>
    </w:p>
    <w:p w:rsidR="003A1C26" w:rsidRPr="003A1C26" w:rsidRDefault="003A1C26" w:rsidP="003A1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</w:pP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Результати, отримані в ході оперативно-технічних </w:t>
      </w:r>
      <w:proofErr w:type="spellStart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>міроприємств</w:t>
      </w:r>
      <w:proofErr w:type="spellEnd"/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t xml:space="preserve">, можуть ввійти у кримінальний процес і через такий вид доказів, як інші документи. Наприклад, це відомості про час, зміст переговорів осіб, що захопили заручників. Ці відомості повинні бути представлені у вигляді </w:t>
      </w:r>
      <w:r w:rsidRPr="003A1C26">
        <w:rPr>
          <w:rFonts w:ascii="Times New Roman" w:eastAsia="Times New Roman" w:hAnsi="Times New Roman" w:cs="Times New Roman"/>
          <w:color w:val="2B1E1B"/>
          <w:sz w:val="28"/>
          <w:szCs w:val="28"/>
          <w:lang w:val="uk-UA" w:eastAsia="ru-RU"/>
        </w:rPr>
        <w:lastRenderedPageBreak/>
        <w:t>письмового документа, який виходить від органу, що проводив оперативно-розшукову діяльність з відповідними реквізитами (дата, підпис керівника, печатка). Можливий допит укладача документа або виконавця як свідка.</w:t>
      </w:r>
    </w:p>
    <w:p w:rsidR="00F647BD" w:rsidRPr="003A1C26" w:rsidRDefault="00F647BD" w:rsidP="003A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7BD" w:rsidRPr="003A1C26" w:rsidSect="00F6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C26"/>
    <w:rsid w:val="003A1C26"/>
    <w:rsid w:val="00F6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2020-11-29T17:43:00Z</dcterms:created>
  <dcterms:modified xsi:type="dcterms:W3CDTF">2020-11-29T17:44:00Z</dcterms:modified>
</cp:coreProperties>
</file>