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B1" w:rsidRPr="00C76CB1" w:rsidRDefault="00C76CB1" w:rsidP="00B8407D">
      <w:pPr>
        <w:rPr>
          <w:b/>
          <w:i/>
          <w:sz w:val="28"/>
          <w:szCs w:val="28"/>
          <w:lang w:val="uk-UA"/>
        </w:rPr>
      </w:pPr>
      <w:bookmarkStart w:id="0" w:name="_GoBack"/>
      <w:r w:rsidRPr="00C76CB1">
        <w:rPr>
          <w:b/>
          <w:i/>
          <w:sz w:val="28"/>
          <w:szCs w:val="28"/>
          <w:lang w:val="uk-UA"/>
        </w:rPr>
        <w:t>Питання до заліку</w:t>
      </w:r>
    </w:p>
    <w:bookmarkEnd w:id="0"/>
    <w:p w:rsidR="00B8407D" w:rsidRPr="00C76CB1" w:rsidRDefault="00B8407D" w:rsidP="00B8407D">
      <w:pPr>
        <w:rPr>
          <w:sz w:val="28"/>
          <w:szCs w:val="28"/>
          <w:lang w:val="fr-FR"/>
        </w:rPr>
      </w:pPr>
      <w:r w:rsidRPr="00C76CB1">
        <w:rPr>
          <w:sz w:val="28"/>
          <w:szCs w:val="28"/>
          <w:lang w:val="fr-FR"/>
        </w:rPr>
        <w:t>1. Les renseignements généraux sur la traduction .</w:t>
      </w:r>
    </w:p>
    <w:p w:rsidR="00B8407D" w:rsidRPr="00C76CB1" w:rsidRDefault="00B8407D" w:rsidP="00B8407D">
      <w:pPr>
        <w:rPr>
          <w:sz w:val="28"/>
          <w:szCs w:val="28"/>
          <w:lang w:val="fr-FR"/>
        </w:rPr>
      </w:pPr>
      <w:r w:rsidRPr="00C76CB1">
        <w:rPr>
          <w:sz w:val="28"/>
          <w:szCs w:val="28"/>
          <w:lang w:val="fr-FR"/>
        </w:rPr>
        <w:t>2.La polysémie du mot et le rôle du contexte dans la traduction. Citer des exemples, p.6-7</w:t>
      </w:r>
    </w:p>
    <w:p w:rsidR="00B8407D" w:rsidRPr="00C76CB1" w:rsidRDefault="00B8407D" w:rsidP="00B8407D">
      <w:pPr>
        <w:rPr>
          <w:sz w:val="28"/>
          <w:szCs w:val="28"/>
          <w:lang w:val="fr-FR"/>
        </w:rPr>
      </w:pPr>
      <w:r w:rsidRPr="00C76CB1">
        <w:rPr>
          <w:sz w:val="28"/>
          <w:szCs w:val="28"/>
          <w:lang w:val="uk-UA"/>
        </w:rPr>
        <w:t>3</w:t>
      </w:r>
      <w:r w:rsidRPr="00C76CB1">
        <w:rPr>
          <w:sz w:val="28"/>
          <w:szCs w:val="28"/>
          <w:lang w:val="fr-FR"/>
        </w:rPr>
        <w:t>. « Les faux » amis du traducteur. Citer des exemples</w:t>
      </w:r>
    </w:p>
    <w:p w:rsidR="00B8407D" w:rsidRPr="00C76CB1" w:rsidRDefault="00B8407D" w:rsidP="00B8407D">
      <w:pPr>
        <w:rPr>
          <w:sz w:val="28"/>
          <w:szCs w:val="28"/>
          <w:lang w:val="fr-FR"/>
        </w:rPr>
      </w:pPr>
      <w:r w:rsidRPr="00C76CB1">
        <w:rPr>
          <w:sz w:val="28"/>
          <w:szCs w:val="28"/>
          <w:lang w:val="fr-FR"/>
        </w:rPr>
        <w:t>4. Le lexique sans équivalent. Citer des exemples</w:t>
      </w:r>
    </w:p>
    <w:p w:rsidR="00B8407D" w:rsidRPr="00C76CB1" w:rsidRDefault="00B8407D" w:rsidP="00B8407D">
      <w:pPr>
        <w:rPr>
          <w:sz w:val="28"/>
          <w:szCs w:val="28"/>
          <w:lang w:val="fr-FR"/>
        </w:rPr>
      </w:pPr>
      <w:r w:rsidRPr="00C76CB1">
        <w:rPr>
          <w:sz w:val="28"/>
          <w:szCs w:val="28"/>
          <w:lang w:val="fr-FR"/>
        </w:rPr>
        <w:t>5. La traduction des nos propres et des noms géographiques. Citer des exemples</w:t>
      </w:r>
    </w:p>
    <w:p w:rsidR="00B8407D" w:rsidRPr="00C76CB1" w:rsidRDefault="00B8407D" w:rsidP="00B8407D">
      <w:pPr>
        <w:rPr>
          <w:sz w:val="28"/>
          <w:szCs w:val="28"/>
          <w:lang w:val="fr-FR"/>
        </w:rPr>
      </w:pPr>
      <w:r w:rsidRPr="00C76CB1">
        <w:rPr>
          <w:sz w:val="28"/>
          <w:szCs w:val="28"/>
          <w:lang w:val="fr-FR"/>
        </w:rPr>
        <w:t>6. La phraséologie française et sa traduction. Citer des exemples</w:t>
      </w:r>
    </w:p>
    <w:p w:rsidR="00CC408F" w:rsidRPr="00C76CB1" w:rsidRDefault="00CC408F" w:rsidP="00CC408F">
      <w:pPr>
        <w:jc w:val="center"/>
        <w:rPr>
          <w:b/>
          <w:i/>
          <w:sz w:val="28"/>
          <w:szCs w:val="28"/>
          <w:lang w:val="fr-FR"/>
        </w:rPr>
      </w:pPr>
      <w:r w:rsidRPr="00C76CB1">
        <w:rPr>
          <w:b/>
          <w:i/>
          <w:sz w:val="28"/>
          <w:szCs w:val="28"/>
          <w:lang w:val="fr-FR"/>
        </w:rPr>
        <w:t>TRADUCTION DES PHRASEOLOGISMES</w:t>
      </w:r>
    </w:p>
    <w:p w:rsidR="00CC408F" w:rsidRPr="00C76CB1" w:rsidRDefault="00CC408F" w:rsidP="00CC408F">
      <w:pPr>
        <w:rPr>
          <w:sz w:val="28"/>
          <w:szCs w:val="28"/>
          <w:lang w:val="fr-FR"/>
        </w:rPr>
      </w:pPr>
      <w:r w:rsidRPr="00C76CB1">
        <w:rPr>
          <w:sz w:val="28"/>
          <w:szCs w:val="28"/>
          <w:lang w:val="fr-FR"/>
        </w:rPr>
        <w:t>Les phraséologismes sont les porteurs (</w:t>
      </w:r>
      <w:r w:rsidRPr="00C76CB1">
        <w:rPr>
          <w:sz w:val="28"/>
          <w:szCs w:val="28"/>
          <w:lang w:val="ru-RU"/>
        </w:rPr>
        <w:t>носители</w:t>
      </w:r>
      <w:r w:rsidRPr="00C76CB1">
        <w:rPr>
          <w:sz w:val="28"/>
          <w:szCs w:val="28"/>
          <w:lang w:val="fr-FR"/>
        </w:rPr>
        <w:t xml:space="preserve">) d'information socioculturelle et c’est un gros problème de la transmettre dans la langue de traduction. Cette information reflètent les particularités ethniques, historiques, culturelles et sociales d'une communauté. </w:t>
      </w:r>
    </w:p>
    <w:p w:rsidR="00CC408F" w:rsidRPr="00C76CB1" w:rsidRDefault="00CC408F" w:rsidP="00CC408F">
      <w:pPr>
        <w:spacing w:after="0" w:line="240" w:lineRule="auto"/>
        <w:rPr>
          <w:sz w:val="28"/>
          <w:szCs w:val="28"/>
          <w:lang w:val="fr-FR"/>
        </w:rPr>
      </w:pPr>
      <w:r w:rsidRPr="00C76CB1">
        <w:rPr>
          <w:sz w:val="28"/>
          <w:szCs w:val="28"/>
          <w:u w:val="single"/>
          <w:lang w:val="fr-FR"/>
        </w:rPr>
        <w:t>Equivalent</w:t>
      </w:r>
      <w:r w:rsidRPr="00C76CB1">
        <w:rPr>
          <w:sz w:val="28"/>
          <w:szCs w:val="28"/>
          <w:lang w:val="fr-FR"/>
        </w:rPr>
        <w:t xml:space="preserve"> . Les phraséologismes de types suivants se traduisent par les équivalents</w:t>
      </w:r>
    </w:p>
    <w:p w:rsidR="00CC408F" w:rsidRPr="00C76CB1" w:rsidRDefault="00CC408F" w:rsidP="00CC408F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  <w:lang w:val="fr-FR"/>
        </w:rPr>
      </w:pPr>
      <w:r w:rsidRPr="00C76CB1">
        <w:rPr>
          <w:sz w:val="28"/>
          <w:szCs w:val="28"/>
          <w:lang w:val="fr-FR"/>
        </w:rPr>
        <w:t xml:space="preserve">Les bibléismes </w:t>
      </w:r>
    </w:p>
    <w:p w:rsidR="00CC408F" w:rsidRPr="00C76CB1" w:rsidRDefault="00CC408F" w:rsidP="00CC408F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fr-FR"/>
        </w:rPr>
      </w:pPr>
      <w:r w:rsidRPr="00C76CB1">
        <w:rPr>
          <w:sz w:val="28"/>
          <w:szCs w:val="28"/>
          <w:lang w:val="fr-FR"/>
        </w:rPr>
        <w:t>l'alpha et l'oméga—альфа й омега—альфа і омега</w:t>
      </w:r>
    </w:p>
    <w:p w:rsidR="00CC408F" w:rsidRPr="00C76CB1" w:rsidRDefault="00CC408F" w:rsidP="00CC408F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fr-FR"/>
        </w:rPr>
      </w:pPr>
      <w:r w:rsidRPr="00C76CB1">
        <w:rPr>
          <w:sz w:val="28"/>
          <w:szCs w:val="28"/>
          <w:lang w:val="fr-FR"/>
        </w:rPr>
        <w:t xml:space="preserve">trente denniers – </w:t>
      </w:r>
      <w:proofErr w:type="spellStart"/>
      <w:r w:rsidRPr="00C76CB1">
        <w:rPr>
          <w:sz w:val="28"/>
          <w:szCs w:val="28"/>
          <w:lang w:val="uk-UA"/>
        </w:rPr>
        <w:t>тридцать</w:t>
      </w:r>
      <w:proofErr w:type="spellEnd"/>
      <w:r w:rsidRPr="00C76CB1">
        <w:rPr>
          <w:sz w:val="28"/>
          <w:szCs w:val="28"/>
          <w:lang w:val="uk-UA"/>
        </w:rPr>
        <w:t xml:space="preserve"> срібняків</w:t>
      </w:r>
    </w:p>
    <w:p w:rsidR="00CC408F" w:rsidRPr="00C76CB1" w:rsidRDefault="00CC408F" w:rsidP="00CC408F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  <w:lang w:val="fr-FR"/>
        </w:rPr>
      </w:pPr>
      <w:r w:rsidRPr="00C76CB1">
        <w:rPr>
          <w:sz w:val="28"/>
          <w:szCs w:val="28"/>
          <w:lang w:val="fr-FR"/>
        </w:rPr>
        <w:t>Clichés phraséologiques (les phraséologismes non imagés)</w:t>
      </w:r>
    </w:p>
    <w:p w:rsidR="00CC408F" w:rsidRPr="00C76CB1" w:rsidRDefault="00CC408F" w:rsidP="00CC408F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fr-FR"/>
        </w:rPr>
      </w:pPr>
      <w:r w:rsidRPr="00C76CB1">
        <w:rPr>
          <w:sz w:val="28"/>
          <w:szCs w:val="28"/>
          <w:lang w:val="fr-FR"/>
        </w:rPr>
        <w:t>coup d'Etat — державний переворот</w:t>
      </w:r>
    </w:p>
    <w:p w:rsidR="00CC408F" w:rsidRPr="00C76CB1" w:rsidRDefault="00CC408F" w:rsidP="00CC408F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fr-FR"/>
        </w:rPr>
      </w:pPr>
      <w:r w:rsidRPr="00C76CB1">
        <w:rPr>
          <w:sz w:val="28"/>
          <w:szCs w:val="28"/>
          <w:lang w:val="fr-FR"/>
        </w:rPr>
        <w:t>mettre au point — налагодити, уточнити</w:t>
      </w:r>
    </w:p>
    <w:p w:rsidR="00CC408F" w:rsidRPr="00C76CB1" w:rsidRDefault="00CC408F" w:rsidP="00CC408F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fr-FR"/>
        </w:rPr>
      </w:pPr>
      <w:r w:rsidRPr="00C76CB1">
        <w:rPr>
          <w:sz w:val="28"/>
          <w:szCs w:val="28"/>
          <w:lang w:val="fr-FR"/>
        </w:rPr>
        <w:t>avoir tort — бути неправим</w:t>
      </w:r>
    </w:p>
    <w:p w:rsidR="00CC408F" w:rsidRPr="00C76CB1" w:rsidRDefault="00CC408F" w:rsidP="00CC408F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  <w:lang w:val="fr-FR"/>
        </w:rPr>
      </w:pPr>
      <w:r w:rsidRPr="00C76CB1">
        <w:rPr>
          <w:sz w:val="28"/>
          <w:szCs w:val="28"/>
          <w:lang w:val="fr-FR"/>
        </w:rPr>
        <w:t>Les phraséologismes imagés dits internationaux fonctionnent dans plusieurs langues sous forme d’</w:t>
      </w:r>
      <w:r w:rsidRPr="00C76CB1">
        <w:rPr>
          <w:sz w:val="28"/>
          <w:szCs w:val="28"/>
          <w:u w:val="single"/>
          <w:lang w:val="fr-FR"/>
        </w:rPr>
        <w:t xml:space="preserve"> </w:t>
      </w:r>
      <w:r w:rsidRPr="00C76CB1">
        <w:rPr>
          <w:sz w:val="28"/>
          <w:szCs w:val="28"/>
          <w:lang w:val="fr-FR"/>
        </w:rPr>
        <w:t>équivalent . Ils peuvent être remplacés facilement dans le contexte de traduction. Leur composition lexico-grammaticale, le sens et l'image qu’ils transmettent sont identiques en deux langues ainsi que la marque stylistique :</w:t>
      </w:r>
    </w:p>
    <w:p w:rsidR="00CC408F" w:rsidRPr="00C76CB1" w:rsidRDefault="00CC408F" w:rsidP="00CC408F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fr-FR"/>
        </w:rPr>
      </w:pPr>
      <w:r w:rsidRPr="00C76CB1">
        <w:rPr>
          <w:sz w:val="28"/>
          <w:szCs w:val="28"/>
          <w:lang w:val="fr-FR"/>
        </w:rPr>
        <w:t xml:space="preserve">les chiens aboient, la caravane passe — собаки лают, а караван идет—собаки гавкають, а караван іде; </w:t>
      </w:r>
    </w:p>
    <w:p w:rsidR="00CC408F" w:rsidRPr="00C76CB1" w:rsidRDefault="00CC408F" w:rsidP="00CC408F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fr-FR"/>
        </w:rPr>
      </w:pPr>
      <w:r w:rsidRPr="00C76CB1">
        <w:rPr>
          <w:sz w:val="28"/>
          <w:szCs w:val="28"/>
          <w:lang w:val="fr-FR"/>
        </w:rPr>
        <w:t xml:space="preserve">armer de pied en cap – </w:t>
      </w:r>
      <w:r w:rsidRPr="00C76CB1">
        <w:rPr>
          <w:sz w:val="28"/>
          <w:szCs w:val="28"/>
          <w:lang w:val="uk-UA"/>
        </w:rPr>
        <w:t>бути озброєним з голови до ніг</w:t>
      </w:r>
    </w:p>
    <w:p w:rsidR="00CC408F" w:rsidRPr="00C76CB1" w:rsidRDefault="00CC408F" w:rsidP="00CC408F">
      <w:pPr>
        <w:spacing w:after="0" w:line="240" w:lineRule="auto"/>
        <w:rPr>
          <w:sz w:val="28"/>
          <w:szCs w:val="28"/>
          <w:lang w:val="fr-FR"/>
        </w:rPr>
      </w:pPr>
    </w:p>
    <w:p w:rsidR="00CC408F" w:rsidRPr="00C76CB1" w:rsidRDefault="00CC408F" w:rsidP="00CC408F">
      <w:pPr>
        <w:spacing w:after="0" w:line="240" w:lineRule="auto"/>
        <w:rPr>
          <w:sz w:val="28"/>
          <w:szCs w:val="28"/>
          <w:lang w:val="fr-FR"/>
        </w:rPr>
      </w:pPr>
      <w:r w:rsidRPr="00C76CB1">
        <w:rPr>
          <w:sz w:val="28"/>
          <w:szCs w:val="28"/>
          <w:u w:val="single"/>
          <w:lang w:val="fr-FR"/>
        </w:rPr>
        <w:t>Analogues</w:t>
      </w:r>
      <w:r w:rsidRPr="00C76CB1">
        <w:rPr>
          <w:sz w:val="28"/>
          <w:szCs w:val="28"/>
          <w:lang w:val="fr-FR"/>
        </w:rPr>
        <w:t>. La transmission de l’image pendant la traduction des phraséolofismes exige parfois les changements des éléments lexicaux qui la créent</w:t>
      </w:r>
    </w:p>
    <w:p w:rsidR="00CC408F" w:rsidRPr="00C76CB1" w:rsidRDefault="00CC408F" w:rsidP="00CC408F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fr-FR"/>
        </w:rPr>
      </w:pPr>
      <w:r w:rsidRPr="00C76CB1">
        <w:rPr>
          <w:sz w:val="28"/>
          <w:szCs w:val="28"/>
          <w:lang w:val="fr-FR"/>
        </w:rPr>
        <w:t>être comme le nez dans le visage - впадати в око</w:t>
      </w:r>
    </w:p>
    <w:p w:rsidR="00CC408F" w:rsidRPr="00C76CB1" w:rsidRDefault="00CC408F" w:rsidP="00B8407D">
      <w:pPr>
        <w:rPr>
          <w:sz w:val="28"/>
          <w:szCs w:val="28"/>
          <w:lang w:val="fr-FR"/>
        </w:rPr>
      </w:pPr>
    </w:p>
    <w:p w:rsidR="008A56F2" w:rsidRPr="00C76CB1" w:rsidRDefault="008A56F2">
      <w:pPr>
        <w:rPr>
          <w:sz w:val="28"/>
          <w:szCs w:val="28"/>
          <w:lang w:val="fr-FR"/>
        </w:rPr>
      </w:pPr>
    </w:p>
    <w:sectPr w:rsidR="008A56F2" w:rsidRPr="00C76CB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902A2"/>
    <w:multiLevelType w:val="hybridMultilevel"/>
    <w:tmpl w:val="3AE4CA92"/>
    <w:lvl w:ilvl="0" w:tplc="6986BFB6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34030E1D"/>
    <w:multiLevelType w:val="hybridMultilevel"/>
    <w:tmpl w:val="56820BC2"/>
    <w:lvl w:ilvl="0" w:tplc="64DA9354">
      <w:start w:val="1"/>
      <w:numFmt w:val="bullet"/>
      <w:lvlText w:val="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6761B5"/>
    <w:multiLevelType w:val="hybridMultilevel"/>
    <w:tmpl w:val="6FBE5BCC"/>
    <w:lvl w:ilvl="0" w:tplc="AAEC8FB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56"/>
    <w:rsid w:val="00332D70"/>
    <w:rsid w:val="008A1956"/>
    <w:rsid w:val="008A56F2"/>
    <w:rsid w:val="00B8407D"/>
    <w:rsid w:val="00C76CB1"/>
    <w:rsid w:val="00CC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39A4"/>
  <w15:chartTrackingRefBased/>
  <w15:docId w15:val="{6CE3FCBA-A3C9-43AF-99D1-F49B24CB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2020-12-22T21:48:00Z</dcterms:created>
  <dcterms:modified xsi:type="dcterms:W3CDTF">2020-12-23T06:41:00Z</dcterms:modified>
</cp:coreProperties>
</file>