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B7" w:rsidRDefault="00264351" w:rsidP="00DA33B7">
      <w:pPr>
        <w:pStyle w:val="3"/>
        <w:shd w:val="clear" w:color="auto" w:fill="auto"/>
        <w:spacing w:after="3521"/>
        <w:ind w:firstLine="0"/>
      </w:pPr>
      <w:r>
        <w:t>ЗАПОРІЗЬКИЙ НАЦІОНАЛЬНИЙ УНІВЕРСИТЕТ</w:t>
      </w:r>
      <w:r>
        <w:t xml:space="preserve"> </w:t>
      </w:r>
      <w:bookmarkStart w:id="0" w:name="bookmark0"/>
    </w:p>
    <w:p w:rsidR="00ED0337" w:rsidRDefault="00264351" w:rsidP="00DA33B7">
      <w:pPr>
        <w:pStyle w:val="3"/>
        <w:shd w:val="clear" w:color="auto" w:fill="auto"/>
        <w:spacing w:after="0" w:line="480" w:lineRule="auto"/>
        <w:ind w:firstLine="0"/>
      </w:pPr>
      <w:r>
        <w:t>МЕТОДОЛОГІЯ НАУКОВО-ПЕДАГОГІЧНИХ ДОСЛІДЖЕНЬ</w:t>
      </w:r>
      <w:bookmarkEnd w:id="0"/>
    </w:p>
    <w:p w:rsidR="00DA33B7" w:rsidRDefault="00264351" w:rsidP="00DA33B7">
      <w:pPr>
        <w:pStyle w:val="3"/>
        <w:shd w:val="clear" w:color="auto" w:fill="auto"/>
        <w:spacing w:after="0" w:line="480" w:lineRule="auto"/>
        <w:ind w:firstLine="0"/>
      </w:pPr>
      <w:r>
        <w:t>МЕТОДИЧНІ РЕКОМЕНДАЦІЇ ЩОДО САМОСТІЙНОГО ВИВЧЕННЯ ДИСЦИПЛІНИ</w:t>
      </w:r>
    </w:p>
    <w:p w:rsidR="00DA33B7" w:rsidRDefault="00DA33B7">
      <w:pPr>
        <w:rPr>
          <w:rFonts w:ascii="Times New Roman" w:eastAsia="Times New Roman" w:hAnsi="Times New Roman" w:cs="Times New Roman"/>
          <w:sz w:val="27"/>
          <w:szCs w:val="27"/>
        </w:rPr>
      </w:pPr>
      <w:r>
        <w:br w:type="page"/>
      </w:r>
    </w:p>
    <w:p w:rsidR="00ED0337" w:rsidRDefault="00264351" w:rsidP="00DA33B7">
      <w:pPr>
        <w:pStyle w:val="3"/>
        <w:shd w:val="clear" w:color="auto" w:fill="auto"/>
        <w:spacing w:after="0" w:line="317" w:lineRule="exact"/>
        <w:ind w:firstLine="0"/>
      </w:pPr>
      <w:r>
        <w:lastRenderedPageBreak/>
        <w:t>ВСТУП</w:t>
      </w:r>
    </w:p>
    <w:p w:rsidR="00DA33B7" w:rsidRPr="00DA33B7" w:rsidRDefault="00DA33B7" w:rsidP="00DA33B7">
      <w:pPr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A33B7">
        <w:rPr>
          <w:rFonts w:ascii="Times New Roman" w:eastAsia="Times New Roman" w:hAnsi="Times New Roman" w:cs="Times New Roman"/>
          <w:b/>
          <w:bCs/>
        </w:rPr>
        <w:t xml:space="preserve">Метою </w:t>
      </w:r>
      <w:r w:rsidRPr="00DA33B7">
        <w:rPr>
          <w:rFonts w:ascii="Times New Roman" w:eastAsia="Times New Roman" w:hAnsi="Times New Roman" w:cs="Times New Roman"/>
          <w:bCs/>
        </w:rPr>
        <w:t>вивчення навчальної дисципліни</w:t>
      </w:r>
      <w:r w:rsidRPr="00DA33B7">
        <w:rPr>
          <w:rFonts w:ascii="Times New Roman" w:eastAsia="Times New Roman" w:hAnsi="Times New Roman" w:cs="Times New Roman"/>
          <w:color w:val="auto"/>
          <w:lang w:eastAsia="ar-SA"/>
        </w:rPr>
        <w:t xml:space="preserve"> «Методологія науково-педагогічних досліджень» є формування у магістрантів теоретичних знань про методологію і методи науково-педагогічного дослідження, досягнення вітчизняних і зарубіжних дослідників у галузі освітніх, педагогічних наук, формування умінь розроблення стратегії, структури і процедури дослідно-експериментальної роботи викладача закладу вищої освіти; оволодіння навичками аналізу, систематизації, інтерпретації результатів досліджень та їх презентації і використання в професійній діяльності.</w:t>
      </w:r>
      <w:r w:rsidRPr="00DA33B7">
        <w:rPr>
          <w:rFonts w:ascii="Times New Roman" w:eastAsia="Times New Roman" w:hAnsi="Times New Roman" w:cs="Times New Roman"/>
          <w:bCs/>
        </w:rPr>
        <w:t xml:space="preserve"> </w:t>
      </w:r>
      <w:r w:rsidRPr="00DA33B7">
        <w:rPr>
          <w:rFonts w:ascii="Times New Roman" w:eastAsia="Times New Roman" w:hAnsi="Times New Roman" w:cs="Times New Roman"/>
          <w:iCs/>
        </w:rPr>
        <w:t xml:space="preserve">. </w:t>
      </w:r>
    </w:p>
    <w:p w:rsidR="00DA33B7" w:rsidRPr="00DA33B7" w:rsidRDefault="00DA33B7" w:rsidP="00DA33B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A33B7">
        <w:rPr>
          <w:rFonts w:ascii="Times New Roman" w:eastAsia="Times New Roman" w:hAnsi="Times New Roman" w:cs="Times New Roman"/>
          <w:iCs/>
        </w:rPr>
        <w:t>Дисципліна «Методологія науково-педагогічних досліджень» репрезентує компоненти наукового дослідження, об'єкт, предмет, завдання аналізу, сукупність необхідних для їх вирішення дослідницьких засобів, а також формує у магістрантів уявлення про послідовність дій дослідника у процесі розв'язання поставлених завдань. З огляду на це методологія педагогіки як науки є сукупністю положень про педагогічне пізнання і перетворення дійсності.</w:t>
      </w:r>
    </w:p>
    <w:p w:rsidR="00DA33B7" w:rsidRPr="00DA33B7" w:rsidRDefault="00DA33B7" w:rsidP="00DA33B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Cs/>
          <w:lang w:val="en-US"/>
        </w:rPr>
      </w:pPr>
      <w:r w:rsidRPr="00DA33B7">
        <w:rPr>
          <w:rFonts w:ascii="Times New Roman" w:eastAsia="Times New Roman" w:hAnsi="Times New Roman" w:cs="Times New Roman"/>
          <w:iCs/>
        </w:rPr>
        <w:t>Основою дисципліни є вчення про структуру і функції педагогічного знання; вихідні, фундаментальні педагогічні положення (теорії, концепції, гіпотези), які мають загальнонаукове наповнення; вчення про логіку і методи педагогічного дослідження, способи використання здобутих знань для вдосконалення педагогічної практики.</w:t>
      </w:r>
    </w:p>
    <w:p w:rsidR="00DA33B7" w:rsidRPr="00DA33B7" w:rsidRDefault="00DA33B7" w:rsidP="00DA33B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DA33B7">
        <w:rPr>
          <w:rFonts w:ascii="Times New Roman" w:eastAsia="Times New Roman" w:hAnsi="Times New Roman" w:cs="Times New Roman"/>
          <w:iCs/>
        </w:rPr>
        <w:t>Визначальні положення про мету, структуру, функції і методи науково-педагогічного дослідження формують у магістрантів, що навчаються за освітньою програмою «Театральне мистецтво» методологію педагогічного дослідження, яка передбачає об'єктивний розгляд педагогічних явищ у їх розвитку та взаємозв'язку.</w:t>
      </w:r>
    </w:p>
    <w:p w:rsidR="00DA33B7" w:rsidRPr="00DA33B7" w:rsidRDefault="00DA33B7" w:rsidP="00DA33B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Cs/>
          <w:lang w:val="en-US"/>
        </w:rPr>
      </w:pPr>
      <w:r w:rsidRPr="00DA33B7">
        <w:rPr>
          <w:rFonts w:ascii="Times New Roman" w:eastAsia="Times New Roman" w:hAnsi="Times New Roman" w:cs="Times New Roman"/>
          <w:iCs/>
        </w:rPr>
        <w:t>У структурі освітньо-професійної програми «Театральне мистецтво» набуті під час вивчення цього курсу компетентності знаходять своє застосування під час педагогічної практики та виконання творчої роботи, а також орієнтовані на науково-педагогічну діяльність магістрів даної спеціальності.</w:t>
      </w:r>
    </w:p>
    <w:p w:rsidR="00ED0337" w:rsidRDefault="00264351" w:rsidP="00DA33B7">
      <w:pPr>
        <w:pStyle w:val="20"/>
        <w:shd w:val="clear" w:color="auto" w:fill="auto"/>
        <w:spacing w:after="0" w:line="270" w:lineRule="exact"/>
        <w:ind w:firstLine="0"/>
      </w:pPr>
      <w:r>
        <w:t xml:space="preserve">МЕТОДИЧНІ РЕКОМЕНДАЦІЇ ЩОДО </w:t>
      </w:r>
      <w:r w:rsidR="00DA33B7">
        <w:t>САМОСТІЙНОЇ РОБОТИ СТУДЕНТІВ ПІД ЧАС ВИВЧЕННЯ ДИСЦИПЛІНИ</w:t>
      </w:r>
    </w:p>
    <w:p w:rsidR="00ED0337" w:rsidRDefault="00264351">
      <w:pPr>
        <w:pStyle w:val="3"/>
        <w:shd w:val="clear" w:color="auto" w:fill="auto"/>
        <w:spacing w:after="0"/>
        <w:ind w:left="20" w:right="20" w:firstLine="700"/>
        <w:jc w:val="both"/>
      </w:pPr>
      <w:r>
        <w:t>Теоретична і практична підготовка студентів при вивченні ку</w:t>
      </w:r>
      <w:r>
        <w:t>рсу «Методологія науково-педагогічних досліджень» включає організацію самостійної роботи студентів як індивідуальну, так і групову.</w:t>
      </w:r>
    </w:p>
    <w:p w:rsidR="00ED0337" w:rsidRDefault="00264351">
      <w:pPr>
        <w:pStyle w:val="3"/>
        <w:shd w:val="clear" w:color="auto" w:fill="auto"/>
        <w:spacing w:after="0"/>
        <w:ind w:left="20" w:firstLine="700"/>
        <w:jc w:val="both"/>
      </w:pPr>
      <w:r>
        <w:t>Самостійна робота студентів включає: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firstLine="700"/>
        <w:jc w:val="both"/>
      </w:pPr>
      <w:r>
        <w:t>вивчення основних теоретичних положень;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 xml:space="preserve">вивчення основної літератури та інших джерел </w:t>
      </w:r>
      <w:r>
        <w:t xml:space="preserve">інформації та аналіз уявлень </w:t>
      </w:r>
      <w:proofErr w:type="spellStart"/>
      <w:r>
        <w:t>вивчаємих</w:t>
      </w:r>
      <w:proofErr w:type="spellEnd"/>
      <w:r>
        <w:t xml:space="preserve"> питань, що є;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proofErr w:type="spellStart"/>
      <w:r>
        <w:t>самооналіз</w:t>
      </w:r>
      <w:proofErr w:type="spellEnd"/>
      <w:r>
        <w:t xml:space="preserve"> та самооцінка власних професійних умінь та навичок та знаходження засобів самовдосконалення і </w:t>
      </w:r>
      <w:proofErr w:type="spellStart"/>
      <w:r>
        <w:t>самокорекції</w:t>
      </w:r>
      <w:proofErr w:type="spellEnd"/>
      <w:r>
        <w:t>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>виконання індивідуальних завдань з аналізу фрагментів змісту освіти за його складніс</w:t>
      </w:r>
      <w:r>
        <w:t>тю та можливої ступені труднощі при його виконанні;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>прогнозування можливих помилок при засвоєнні змісту освіти та знаходження засобів корекції результатів діяльності студентів.</w:t>
      </w:r>
    </w:p>
    <w:p w:rsidR="00ED0337" w:rsidRDefault="00264351">
      <w:pPr>
        <w:pStyle w:val="3"/>
        <w:shd w:val="clear" w:color="auto" w:fill="auto"/>
        <w:spacing w:after="0"/>
        <w:ind w:left="20" w:right="20" w:firstLine="700"/>
        <w:jc w:val="both"/>
      </w:pPr>
      <w:r>
        <w:t>Найбільш раціональною формою самостійної роботи є система, яка включає в себе т</w:t>
      </w:r>
      <w:r>
        <w:t>акі елементи: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>своєчасне ознайомлення з темою лекції, семінару і питаннями для самостійної роботи;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>встановлення зв’язку даної теми з відповідними розділами програми курсу;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>опрацювання основної і додаткової літератури, що рекомендується до теми семінарського</w:t>
      </w:r>
      <w:r>
        <w:t xml:space="preserve"> заняття;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firstLine="700"/>
        <w:jc w:val="both"/>
      </w:pPr>
      <w:r>
        <w:t>ознайомлення з методичними посібниками;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firstLine="700"/>
        <w:jc w:val="both"/>
      </w:pPr>
      <w:r>
        <w:lastRenderedPageBreak/>
        <w:t>перегляд власного конспекту лекцій;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>безпосередня підготовка до виступу на семінарі (складання плану, тез, конспекту виступу);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971"/>
        </w:tabs>
        <w:spacing w:after="0"/>
        <w:ind w:left="20" w:right="20" w:firstLine="700"/>
        <w:jc w:val="both"/>
      </w:pPr>
      <w:r>
        <w:t>запис незрозумілих питань, які слід з’ясувати на консультації чи семінарі;</w:t>
      </w:r>
    </w:p>
    <w:p w:rsidR="00ED0337" w:rsidRDefault="00264351">
      <w:pPr>
        <w:pStyle w:val="3"/>
        <w:numPr>
          <w:ilvl w:val="0"/>
          <w:numId w:val="2"/>
        </w:numPr>
        <w:shd w:val="clear" w:color="auto" w:fill="auto"/>
        <w:tabs>
          <w:tab w:val="left" w:pos="1055"/>
        </w:tabs>
        <w:spacing w:after="0"/>
        <w:ind w:left="20" w:right="340" w:firstLine="720"/>
        <w:jc w:val="both"/>
      </w:pPr>
      <w:r>
        <w:t>самоп</w:t>
      </w:r>
      <w:r>
        <w:t>еревірка готовності до семінарського заняття, що включає в себе перевірку засвоєння основних понять і категорій, які вказані до кожного семінарського заняття; самоперевірку можуть здійснювати декілька студентів, ставлячи один одному запитання.</w:t>
      </w:r>
    </w:p>
    <w:p w:rsidR="00ED0337" w:rsidRDefault="00264351">
      <w:pPr>
        <w:pStyle w:val="3"/>
        <w:shd w:val="clear" w:color="auto" w:fill="auto"/>
        <w:spacing w:after="0"/>
        <w:ind w:left="20" w:right="340" w:firstLine="720"/>
        <w:jc w:val="both"/>
      </w:pPr>
      <w:r>
        <w:t>Тези - це не</w:t>
      </w:r>
      <w:r>
        <w:t xml:space="preserve"> простий перелік проблем, а коротко сформульовані положення роботи без детального викладу доказів, принципів, міркувань автора твору.</w:t>
      </w:r>
    </w:p>
    <w:p w:rsidR="00ED0337" w:rsidRDefault="00264351">
      <w:pPr>
        <w:pStyle w:val="3"/>
        <w:shd w:val="clear" w:color="auto" w:fill="auto"/>
        <w:spacing w:after="0"/>
        <w:ind w:left="20" w:right="340" w:firstLine="720"/>
        <w:jc w:val="both"/>
      </w:pPr>
      <w:r>
        <w:t>Конспект - це стислий самостійний виклад основних думок автора в їх логічній послідовності з наведенням найважливіших поло</w:t>
      </w:r>
      <w:r>
        <w:t xml:space="preserve">жень. Зміст конспектування полягає в поділі </w:t>
      </w:r>
      <w:r>
        <w:rPr>
          <w:lang w:val="ru-RU"/>
        </w:rPr>
        <w:t xml:space="preserve">книги </w:t>
      </w:r>
      <w:r>
        <w:t>чи окремих глав, параграфів на частини і їх короткий виклад у стислому вигляді своїми словами. Зміст сторінки, наприклад, може бути викладено в одному абзаці. А зміст глави - на двох сторінках при збереженн</w:t>
      </w:r>
      <w:r>
        <w:t>і логічної послідовності. Писати треба зрозуміло, чітко, послідовно. Основні ідеї, висновки виділяти, підкреслюючи їх, беручи у рамку.</w:t>
      </w:r>
    </w:p>
    <w:p w:rsidR="00ED0337" w:rsidRDefault="00264351">
      <w:pPr>
        <w:pStyle w:val="3"/>
        <w:shd w:val="clear" w:color="auto" w:fill="auto"/>
        <w:spacing w:after="0"/>
        <w:ind w:left="20" w:right="340" w:firstLine="720"/>
        <w:jc w:val="both"/>
      </w:pPr>
      <w:r>
        <w:t>У процесі вивчення курсу кожен студент мусить написати і захистити реферат, брати участь в обговоренні рефератів своїх ко</w:t>
      </w:r>
      <w:r>
        <w:t>лег. Розпочинаючи вивчення курсу, студент обирає тему реферату, погоджує її з викладачем, одержує детальні рекомендації щодо добору та вивчення літератури, правил оформлення реферату.</w:t>
      </w:r>
    </w:p>
    <w:p w:rsidR="00ED0337" w:rsidRDefault="00264351">
      <w:pPr>
        <w:pStyle w:val="3"/>
        <w:shd w:val="clear" w:color="auto" w:fill="auto"/>
        <w:spacing w:after="0"/>
        <w:ind w:left="20" w:right="340" w:firstLine="720"/>
        <w:jc w:val="both"/>
      </w:pPr>
      <w:r>
        <w:t>Хоча викладені тут методичні вказівки не містять універсальних рецептів,</w:t>
      </w:r>
      <w:r>
        <w:t xml:space="preserve"> вони покликані, крім усього іншого, спрямувати зусилля добросовісною, старанного студента на вироблення власної, найбільш прийнятної для нього методики ґрунтовного вивчення історії </w:t>
      </w:r>
      <w:proofErr w:type="spellStart"/>
      <w:r>
        <w:t>вчень</w:t>
      </w:r>
      <w:proofErr w:type="spellEnd"/>
      <w:r>
        <w:t xml:space="preserve"> про державу і право.</w:t>
      </w:r>
    </w:p>
    <w:p w:rsidR="00ED0337" w:rsidRDefault="00264351">
      <w:pPr>
        <w:pStyle w:val="3"/>
        <w:shd w:val="clear" w:color="auto" w:fill="auto"/>
        <w:spacing w:after="0"/>
        <w:ind w:left="20" w:firstLine="720"/>
        <w:jc w:val="both"/>
      </w:pPr>
      <w:r>
        <w:t>Зміст самостійної роботи з дисципліни складає:</w:t>
      </w:r>
    </w:p>
    <w:p w:rsidR="00ED0337" w:rsidRDefault="00264351">
      <w:pPr>
        <w:pStyle w:val="3"/>
        <w:numPr>
          <w:ilvl w:val="0"/>
          <w:numId w:val="3"/>
        </w:numPr>
        <w:shd w:val="clear" w:color="auto" w:fill="auto"/>
        <w:tabs>
          <w:tab w:val="left" w:pos="1055"/>
        </w:tabs>
        <w:spacing w:after="0"/>
        <w:ind w:left="20" w:right="340" w:firstLine="720"/>
        <w:jc w:val="both"/>
      </w:pPr>
      <w:r>
        <w:t>Підготовка до семінарських занять (відповідно з переліком завдань підготовки до семінарських занять).</w:t>
      </w:r>
    </w:p>
    <w:p w:rsidR="00ED0337" w:rsidRDefault="00264351">
      <w:pPr>
        <w:pStyle w:val="3"/>
        <w:numPr>
          <w:ilvl w:val="0"/>
          <w:numId w:val="3"/>
        </w:numPr>
        <w:shd w:val="clear" w:color="auto" w:fill="auto"/>
        <w:tabs>
          <w:tab w:val="left" w:pos="1270"/>
        </w:tabs>
        <w:spacing w:after="0"/>
        <w:ind w:left="20" w:right="340" w:firstLine="720"/>
        <w:jc w:val="both"/>
      </w:pPr>
      <w:r>
        <w:t xml:space="preserve">Самостійне опрацювання (конспектування) </w:t>
      </w:r>
      <w:proofErr w:type="spellStart"/>
      <w:r>
        <w:t>вивчаємих</w:t>
      </w:r>
      <w:proofErr w:type="spellEnd"/>
      <w:r>
        <w:t xml:space="preserve"> джерел матеріалу.</w:t>
      </w:r>
    </w:p>
    <w:p w:rsidR="00ED0337" w:rsidRDefault="00264351">
      <w:pPr>
        <w:pStyle w:val="3"/>
        <w:numPr>
          <w:ilvl w:val="0"/>
          <w:numId w:val="3"/>
        </w:numPr>
        <w:shd w:val="clear" w:color="auto" w:fill="auto"/>
        <w:tabs>
          <w:tab w:val="left" w:pos="2545"/>
        </w:tabs>
        <w:spacing w:after="0"/>
        <w:ind w:left="20" w:right="340" w:firstLine="720"/>
        <w:jc w:val="both"/>
      </w:pPr>
      <w:r>
        <w:t>Самостійне</w:t>
      </w:r>
      <w:r>
        <w:tab/>
        <w:t>опрацювання наукових і періодичних видань (перелік літератури міститься у р</w:t>
      </w:r>
      <w:r>
        <w:t>обочій програмі).</w:t>
      </w:r>
    </w:p>
    <w:p w:rsidR="00ED0337" w:rsidRDefault="00264351">
      <w:pPr>
        <w:pStyle w:val="3"/>
        <w:numPr>
          <w:ilvl w:val="0"/>
          <w:numId w:val="3"/>
        </w:numPr>
        <w:shd w:val="clear" w:color="auto" w:fill="auto"/>
        <w:tabs>
          <w:tab w:val="left" w:pos="2310"/>
        </w:tabs>
        <w:spacing w:after="0"/>
        <w:ind w:left="20" w:firstLine="720"/>
        <w:jc w:val="both"/>
      </w:pPr>
      <w:r>
        <w:t>Самостійне вивчення окремих тем (питань) курсу.</w:t>
      </w:r>
    </w:p>
    <w:p w:rsidR="00ED0337" w:rsidRDefault="00264351">
      <w:pPr>
        <w:pStyle w:val="3"/>
        <w:numPr>
          <w:ilvl w:val="0"/>
          <w:numId w:val="3"/>
        </w:numPr>
        <w:shd w:val="clear" w:color="auto" w:fill="auto"/>
        <w:tabs>
          <w:tab w:val="left" w:pos="1055"/>
        </w:tabs>
        <w:spacing w:after="0"/>
        <w:ind w:left="20" w:firstLine="720"/>
        <w:jc w:val="both"/>
      </w:pPr>
      <w:r>
        <w:t>Написання студентом не менш як одного реферату за семестр.</w:t>
      </w:r>
    </w:p>
    <w:p w:rsidR="00ED0337" w:rsidRDefault="00264351">
      <w:pPr>
        <w:pStyle w:val="3"/>
        <w:numPr>
          <w:ilvl w:val="0"/>
          <w:numId w:val="3"/>
        </w:numPr>
        <w:shd w:val="clear" w:color="auto" w:fill="auto"/>
        <w:tabs>
          <w:tab w:val="left" w:pos="1055"/>
        </w:tabs>
        <w:spacing w:after="0"/>
        <w:ind w:left="20" w:right="340" w:firstLine="720"/>
        <w:jc w:val="both"/>
      </w:pPr>
      <w:r>
        <w:t xml:space="preserve">Самостійне розв’язування задач (тестів) (дивись плани семінарських </w:t>
      </w:r>
      <w:r>
        <w:rPr>
          <w:lang w:val="ru-RU"/>
        </w:rPr>
        <w:t>занять).</w:t>
      </w:r>
    </w:p>
    <w:p w:rsidR="00ED0337" w:rsidRDefault="00264351">
      <w:pPr>
        <w:pStyle w:val="3"/>
        <w:numPr>
          <w:ilvl w:val="0"/>
          <w:numId w:val="3"/>
        </w:numPr>
        <w:shd w:val="clear" w:color="auto" w:fill="auto"/>
        <w:tabs>
          <w:tab w:val="left" w:pos="1055"/>
        </w:tabs>
        <w:spacing w:after="0"/>
        <w:ind w:left="20" w:firstLine="720"/>
        <w:jc w:val="both"/>
      </w:pPr>
      <w:r>
        <w:t>Підготовка до Іспиту.</w:t>
      </w:r>
    </w:p>
    <w:p w:rsidR="00ED0337" w:rsidRDefault="00264351">
      <w:pPr>
        <w:pStyle w:val="20"/>
        <w:shd w:val="clear" w:color="auto" w:fill="auto"/>
        <w:spacing w:after="0" w:line="322" w:lineRule="exact"/>
        <w:ind w:left="360" w:firstLine="0"/>
      </w:pPr>
      <w:r>
        <w:t>Форми і методи поточного контролю</w:t>
      </w:r>
    </w:p>
    <w:p w:rsidR="00ED0337" w:rsidRDefault="00264351">
      <w:pPr>
        <w:pStyle w:val="3"/>
        <w:shd w:val="clear" w:color="auto" w:fill="auto"/>
        <w:spacing w:after="0"/>
        <w:ind w:left="20" w:right="340" w:firstLine="720"/>
        <w:jc w:val="both"/>
      </w:pPr>
      <w:r>
        <w:t>В процесі вивчення дисципліни контроль здійснюється в наступних формах і методах:</w:t>
      </w:r>
    </w:p>
    <w:p w:rsidR="00ED0337" w:rsidRDefault="00264351">
      <w:pPr>
        <w:pStyle w:val="3"/>
        <w:numPr>
          <w:ilvl w:val="0"/>
          <w:numId w:val="4"/>
        </w:numPr>
        <w:shd w:val="clear" w:color="auto" w:fill="auto"/>
        <w:tabs>
          <w:tab w:val="left" w:pos="1055"/>
        </w:tabs>
        <w:spacing w:after="0"/>
        <w:ind w:left="20" w:right="340" w:firstLine="720"/>
        <w:jc w:val="both"/>
      </w:pPr>
      <w:r>
        <w:t xml:space="preserve">Вхідний </w:t>
      </w:r>
      <w:r>
        <w:rPr>
          <w:lang w:val="ru-RU"/>
        </w:rPr>
        <w:t xml:space="preserve">контроль: </w:t>
      </w:r>
      <w:r>
        <w:t xml:space="preserve">вхідний контроль проводиться </w:t>
      </w:r>
      <w:r>
        <w:rPr>
          <w:lang w:val="ru-RU"/>
        </w:rPr>
        <w:t xml:space="preserve">шляхом </w:t>
      </w:r>
      <w:r>
        <w:t>тестування та фронтального опитування студентів.</w:t>
      </w:r>
    </w:p>
    <w:p w:rsidR="00ED0337" w:rsidRDefault="00264351">
      <w:pPr>
        <w:pStyle w:val="3"/>
        <w:numPr>
          <w:ilvl w:val="0"/>
          <w:numId w:val="4"/>
        </w:numPr>
        <w:shd w:val="clear" w:color="auto" w:fill="auto"/>
        <w:tabs>
          <w:tab w:val="left" w:pos="1270"/>
          <w:tab w:val="center" w:pos="4633"/>
          <w:tab w:val="left" w:pos="5458"/>
        </w:tabs>
        <w:spacing w:after="0"/>
        <w:ind w:left="20" w:firstLine="720"/>
        <w:jc w:val="both"/>
      </w:pPr>
      <w:r>
        <w:t xml:space="preserve">Поточний </w:t>
      </w:r>
      <w:r>
        <w:rPr>
          <w:lang w:val="ru-RU"/>
        </w:rPr>
        <w:t>контроль:</w:t>
      </w:r>
      <w:r>
        <w:rPr>
          <w:lang w:val="ru-RU"/>
        </w:rPr>
        <w:tab/>
      </w:r>
      <w:r>
        <w:t>поточний</w:t>
      </w:r>
      <w:r>
        <w:tab/>
        <w:t>контроль здійснюється під час</w:t>
      </w:r>
    </w:p>
    <w:p w:rsidR="00ED0337" w:rsidRDefault="00264351">
      <w:pPr>
        <w:pStyle w:val="3"/>
        <w:shd w:val="clear" w:color="auto" w:fill="auto"/>
        <w:spacing w:after="0"/>
        <w:ind w:left="20" w:right="340" w:firstLine="0"/>
        <w:jc w:val="left"/>
      </w:pPr>
      <w:r>
        <w:t xml:space="preserve">практичних </w:t>
      </w:r>
      <w:r>
        <w:t xml:space="preserve">(семінарських) занять з метою перевірки рівня підготовки студентів з </w:t>
      </w:r>
      <w:r>
        <w:lastRenderedPageBreak/>
        <w:t>кожної теми навчальної дисципліни з використанням різних форм і методів:</w:t>
      </w:r>
    </w:p>
    <w:p w:rsidR="00ED0337" w:rsidRDefault="00264351">
      <w:pPr>
        <w:pStyle w:val="3"/>
        <w:numPr>
          <w:ilvl w:val="1"/>
          <w:numId w:val="4"/>
        </w:numPr>
        <w:shd w:val="clear" w:color="auto" w:fill="auto"/>
        <w:tabs>
          <w:tab w:val="left" w:pos="1270"/>
        </w:tabs>
        <w:spacing w:after="0"/>
        <w:ind w:left="20" w:right="340" w:firstLine="720"/>
        <w:jc w:val="both"/>
      </w:pPr>
      <w:r>
        <w:t xml:space="preserve">Просте опитування, співбесіда та вільна дискусія з питань планів семінарських </w:t>
      </w:r>
      <w:r>
        <w:rPr>
          <w:lang w:val="ru-RU"/>
        </w:rPr>
        <w:t>занять;</w:t>
      </w:r>
    </w:p>
    <w:p w:rsidR="00ED0337" w:rsidRDefault="00264351">
      <w:pPr>
        <w:pStyle w:val="3"/>
        <w:numPr>
          <w:ilvl w:val="1"/>
          <w:numId w:val="4"/>
        </w:numPr>
        <w:shd w:val="clear" w:color="auto" w:fill="auto"/>
        <w:tabs>
          <w:tab w:val="left" w:pos="1457"/>
        </w:tabs>
        <w:spacing w:after="0"/>
        <w:ind w:left="300" w:firstLine="720"/>
        <w:jc w:val="both"/>
      </w:pPr>
      <w:proofErr w:type="spellStart"/>
      <w:r>
        <w:rPr>
          <w:lang w:val="ru-RU"/>
        </w:rPr>
        <w:t>Заслуховування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обговоренн</w:t>
      </w:r>
      <w:r>
        <w:rPr>
          <w:lang w:val="ru-RU"/>
        </w:rPr>
        <w:t>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реферативних</w:t>
      </w:r>
      <w:proofErr w:type="spellEnd"/>
      <w:r>
        <w:rPr>
          <w:lang w:val="ru-RU"/>
        </w:rPr>
        <w:t xml:space="preserve"> </w:t>
      </w:r>
      <w:r>
        <w:t>повідомлень;</w:t>
      </w:r>
    </w:p>
    <w:p w:rsidR="00ED0337" w:rsidRDefault="00264351">
      <w:pPr>
        <w:pStyle w:val="3"/>
        <w:numPr>
          <w:ilvl w:val="1"/>
          <w:numId w:val="4"/>
        </w:numPr>
        <w:shd w:val="clear" w:color="auto" w:fill="auto"/>
        <w:tabs>
          <w:tab w:val="left" w:pos="1457"/>
        </w:tabs>
        <w:spacing w:after="0"/>
        <w:ind w:left="300" w:firstLine="720"/>
        <w:jc w:val="both"/>
      </w:pPr>
      <w:r>
        <w:t>Перевірка розв’язання задач (тестів), контрольних завдань, вправ;</w:t>
      </w:r>
    </w:p>
    <w:p w:rsidR="00DA33B7" w:rsidRDefault="00264351">
      <w:pPr>
        <w:pStyle w:val="3"/>
        <w:shd w:val="clear" w:color="auto" w:fill="auto"/>
        <w:tabs>
          <w:tab w:val="left" w:pos="1457"/>
        </w:tabs>
        <w:spacing w:after="296"/>
        <w:ind w:left="300" w:right="20" w:firstLine="720"/>
        <w:jc w:val="both"/>
      </w:pPr>
      <w:r>
        <w:t>З.</w:t>
      </w:r>
      <w:r>
        <w:tab/>
        <w:t xml:space="preserve">Підсумковий </w:t>
      </w:r>
      <w:r>
        <w:rPr>
          <w:lang w:val="ru-RU"/>
        </w:rPr>
        <w:t xml:space="preserve">контроль: </w:t>
      </w:r>
      <w:r>
        <w:t>підсумковий контроль проводиться з метою оцінки результатів навчання студентів за семестр: протягом семестру - атестація у формі диференц</w:t>
      </w:r>
      <w:r>
        <w:t>ійованого заліку; семестровий - у формі іспиту.</w:t>
      </w:r>
    </w:p>
    <w:p w:rsidR="00DA33B7" w:rsidRDefault="00DA33B7">
      <w:pPr>
        <w:rPr>
          <w:rFonts w:ascii="Times New Roman" w:eastAsia="Times New Roman" w:hAnsi="Times New Roman" w:cs="Times New Roman"/>
          <w:sz w:val="27"/>
          <w:szCs w:val="27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7818"/>
      </w:tblGrid>
      <w:tr w:rsidR="00DA33B7" w:rsidRPr="00DA33B7" w:rsidTr="00DA33B7">
        <w:trPr>
          <w:trHeight w:val="253"/>
          <w:tblHeader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ind w:left="-70"/>
              <w:jc w:val="center"/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2"/>
                <w:szCs w:val="22"/>
                <w:lang w:eastAsia="en-US" w:bidi="hi-IN"/>
              </w:rPr>
            </w:pPr>
            <w:r w:rsidRPr="00DA33B7"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2"/>
                <w:szCs w:val="22"/>
                <w:lang w:eastAsia="zh-CN" w:bidi="hi-IN"/>
              </w:rPr>
              <w:lastRenderedPageBreak/>
              <w:t>Вид заняття / роботи</w:t>
            </w:r>
          </w:p>
        </w:tc>
        <w:tc>
          <w:tcPr>
            <w:tcW w:w="3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2"/>
                <w:szCs w:val="22"/>
                <w:lang w:eastAsia="en-US" w:bidi="hi-IN"/>
              </w:rPr>
            </w:pPr>
            <w:r w:rsidRPr="00DA33B7">
              <w:rPr>
                <w:rFonts w:ascii="Times New Roman" w:eastAsia="Droid Sans Fallback" w:hAnsi="Times New Roman" w:cs="Times New Roman"/>
                <w:b/>
                <w:color w:val="auto"/>
                <w:kern w:val="2"/>
                <w:sz w:val="22"/>
                <w:szCs w:val="22"/>
                <w:lang w:eastAsia="zh-CN" w:bidi="hi-IN"/>
              </w:rPr>
              <w:t>Назва теми</w:t>
            </w:r>
          </w:p>
        </w:tc>
      </w:tr>
      <w:tr w:rsidR="00DA33B7" w:rsidRPr="00DA33B7" w:rsidTr="00DA33B7">
        <w:trPr>
          <w:trHeight w:val="268"/>
          <w:tblHeader/>
        </w:trPr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B7" w:rsidRPr="00DA33B7" w:rsidRDefault="00DA33B7" w:rsidP="00DA33B7">
            <w:pPr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en-US" w:bidi="hi-IN"/>
              </w:rPr>
            </w:pPr>
          </w:p>
        </w:tc>
        <w:tc>
          <w:tcPr>
            <w:tcW w:w="3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B7" w:rsidRPr="00DA33B7" w:rsidRDefault="00DA33B7" w:rsidP="00DA33B7">
            <w:pPr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en-US" w:bidi="hi-IN"/>
              </w:rPr>
            </w:pPr>
          </w:p>
        </w:tc>
      </w:tr>
      <w:tr w:rsidR="00DA33B7" w:rsidRPr="00DA33B7" w:rsidTr="00DA33B7">
        <w:trPr>
          <w:trHeight w:val="8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B7" w:rsidRPr="00DA33B7" w:rsidRDefault="00DA33B7" w:rsidP="00DA33B7">
            <w:pPr>
              <w:jc w:val="center"/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2"/>
                <w:szCs w:val="22"/>
                <w:lang w:eastAsia="en-US" w:bidi="hi-IN"/>
              </w:rPr>
            </w:pPr>
            <w:r w:rsidRPr="00DA33B7"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2"/>
                <w:szCs w:val="22"/>
                <w:lang w:eastAsia="en-US" w:bidi="hi-IN"/>
              </w:rPr>
              <w:t>1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B7" w:rsidRPr="00DA33B7" w:rsidRDefault="00DA33B7" w:rsidP="00DA33B7">
            <w:pPr>
              <w:jc w:val="center"/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2"/>
                <w:szCs w:val="22"/>
                <w:lang w:eastAsia="en-US" w:bidi="hi-IN"/>
              </w:rPr>
            </w:pPr>
            <w:r w:rsidRPr="00DA33B7">
              <w:rPr>
                <w:rFonts w:ascii="Times New Roman" w:eastAsia="Droid Sans Fallback" w:hAnsi="Times New Roman" w:cs="Times New Roman"/>
                <w:b/>
                <w:i/>
                <w:color w:val="auto"/>
                <w:kern w:val="2"/>
                <w:sz w:val="22"/>
                <w:szCs w:val="22"/>
                <w:lang w:eastAsia="en-US" w:bidi="hi-IN"/>
              </w:rPr>
              <w:t>2</w:t>
            </w:r>
          </w:p>
        </w:tc>
      </w:tr>
      <w:tr w:rsidR="00DA33B7" w:rsidRPr="00DA33B7" w:rsidTr="00DA33B7">
        <w:trPr>
          <w:trHeight w:val="65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Самостійна робота 1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Тема.</w:t>
            </w:r>
            <w:r w:rsidRPr="00DA33B7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Процес наукового дослідження, його категоріальний апарат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1. Процес наукового дослідження, його характеристика та етапи проведення.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2. Організація наукової діяльності в Україні.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3. Науково-дослідницька діяльність студента.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4. Категоріальний апарат науково-педагогічного дослідження: актуальність, мета і завдання, об’єкт, предмет, методи, наукова новизна, практична значущість, апробація.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DA33B7" w:rsidRPr="00DA33B7" w:rsidTr="00DA33B7">
        <w:trPr>
          <w:trHeight w:val="451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Самостійна робота 2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Тема. Теоретичні і емпіричні методи наукових досліджень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 xml:space="preserve">1. Рівні методології. 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2. Методи досліджень на теоретичному рівні: аналіз, синтез, класифікація, систематизація, узагальнення, індукція, дедукція, аналогія, моделювання.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3. Методи емпіричного дослідження. Анкетування, спостереження, тестування, контент-аналіз, вивчення досвіду роботи педагогів закладів вищої освіти.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4. Педагогічний експеримент.</w:t>
            </w:r>
          </w:p>
          <w:p w:rsidR="00DA33B7" w:rsidRPr="00DA33B7" w:rsidRDefault="00DA33B7" w:rsidP="00DA33B7">
            <w:pPr>
              <w:suppressAutoHyphens/>
              <w:autoSpaceDE w:val="0"/>
              <w:autoSpaceDN w:val="0"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5. Застосування методів математичної статистики до результатів педагогічного експерименту</w:t>
            </w:r>
          </w:p>
        </w:tc>
      </w:tr>
      <w:tr w:rsidR="00DA33B7" w:rsidRPr="00DA33B7" w:rsidTr="00DA33B7">
        <w:trPr>
          <w:trHeight w:val="451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Самостійна робота 3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keepNext/>
              <w:keepLines/>
              <w:shd w:val="clear" w:color="auto" w:fill="FFFFFF"/>
              <w:suppressAutoHyphens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Times New Roman" w:hAnsi="Times New Roman" w:cs="Times New Roman"/>
                <w:bCs/>
                <w:iCs/>
                <w:color w:val="auto"/>
                <w:kern w:val="2"/>
                <w:sz w:val="22"/>
                <w:szCs w:val="22"/>
                <w:lang w:eastAsia="zh-CN" w:bidi="hi-IN"/>
              </w:rPr>
              <w:t>Тема. Особливості роботи з інформацією. Академічна доброчесність.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 xml:space="preserve">1. Джерела інформації та їх використання у науково-дослідній роботі. 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>2. Пошук науково-педагогічної інформації в Інтернет.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 xml:space="preserve">3. Техніка роботи зі спеціальною літературою. 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 xml:space="preserve">4. </w:t>
            </w:r>
            <w:proofErr w:type="spellStart"/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>Наукометричні</w:t>
            </w:r>
            <w:proofErr w:type="spellEnd"/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 xml:space="preserve"> бази. 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 xml:space="preserve">5.Захист інформації. 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 xml:space="preserve">5. Методи перевірки на плагіат та академічну </w:t>
            </w:r>
            <w:proofErr w:type="spellStart"/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>недоброчесність</w:t>
            </w:r>
            <w:proofErr w:type="spellEnd"/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>..</w:t>
            </w:r>
          </w:p>
        </w:tc>
      </w:tr>
      <w:tr w:rsidR="00DA33B7" w:rsidRPr="00DA33B7" w:rsidTr="00DA33B7">
        <w:trPr>
          <w:trHeight w:val="65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Самостійна робота 4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jc w:val="both"/>
              <w:rPr>
                <w:rFonts w:ascii="Liberation Serif" w:eastAsia="Droid Sans Fallback" w:hAnsi="Liberation Serif" w:cs="FreeSans"/>
                <w:color w:val="auto"/>
                <w:kern w:val="2"/>
                <w:lang w:eastAsia="zh-CN" w:bidi="hi-IN"/>
              </w:rPr>
            </w:pPr>
            <w:r w:rsidRPr="00DA33B7">
              <w:rPr>
                <w:rFonts w:ascii="Liberation Serif" w:eastAsia="Droid Sans Fallback" w:hAnsi="Liberation Serif" w:cs="FreeSans"/>
                <w:color w:val="auto"/>
                <w:kern w:val="2"/>
                <w:lang w:eastAsia="zh-CN" w:bidi="hi-IN"/>
              </w:rPr>
              <w:t>Тема</w:t>
            </w:r>
            <w:r w:rsidRPr="00DA33B7">
              <w:rPr>
                <w:rFonts w:ascii="Liberation Serif" w:eastAsia="Droid Sans Fallback" w:hAnsi="Liberation Serif" w:cs="FreeSans"/>
                <w:b/>
                <w:color w:val="auto"/>
                <w:kern w:val="2"/>
                <w:lang w:eastAsia="zh-CN" w:bidi="hi-IN"/>
              </w:rPr>
              <w:t>.</w:t>
            </w:r>
            <w:r w:rsidRPr="00DA33B7">
              <w:rPr>
                <w:rFonts w:ascii="Times New Roman" w:hAnsi="Times New Roman" w:cs="Times New Roman"/>
              </w:rPr>
              <w:t xml:space="preserve"> Техніка написання і оформлення науково-педагогічного дослідження</w:t>
            </w:r>
          </w:p>
          <w:p w:rsidR="00DA33B7" w:rsidRPr="00DA33B7" w:rsidRDefault="00DA33B7" w:rsidP="00DA33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DA33B7">
              <w:rPr>
                <w:rFonts w:ascii="Times New Roman" w:eastAsia="Droid Sans Fallback" w:hAnsi="Times New Roman" w:cs="Times New Roman"/>
                <w:iCs/>
                <w:color w:val="auto"/>
                <w:kern w:val="2"/>
                <w:sz w:val="22"/>
                <w:szCs w:val="22"/>
                <w:lang w:eastAsia="zh-CN" w:bidi="hi-IN"/>
              </w:rPr>
              <w:t>1.</w:t>
            </w:r>
            <w:r w:rsidRPr="00DA33B7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. Курсова, дипломна, магістерська роботи: написання, оформлення, захист. </w:t>
            </w:r>
          </w:p>
          <w:p w:rsidR="00DA33B7" w:rsidRPr="00DA33B7" w:rsidRDefault="00DA33B7" w:rsidP="00DA33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DA33B7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2. Дисертаційні дослідження з педагогіки та освітніх, педагогічних наук. </w:t>
            </w:r>
          </w:p>
          <w:p w:rsidR="00DA33B7" w:rsidRPr="00DA33B7" w:rsidRDefault="00DA33B7" w:rsidP="00DA33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DA33B7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 xml:space="preserve">3. Категоріальний апарат та основні складові дисертаційного дослідження. </w:t>
            </w:r>
          </w:p>
          <w:p w:rsidR="00DA33B7" w:rsidRPr="00DA33B7" w:rsidRDefault="00DA33B7" w:rsidP="00DA33B7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DA33B7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</w:rPr>
              <w:t>4. Вимоги до оформлення дисертації</w:t>
            </w:r>
          </w:p>
          <w:p w:rsidR="00DA33B7" w:rsidRPr="00DA33B7" w:rsidRDefault="00DA33B7" w:rsidP="00DA33B7">
            <w:pPr>
              <w:suppressAutoHyphens/>
              <w:rPr>
                <w:rFonts w:ascii="Liberation Serif" w:eastAsia="Droid Sans Fallback" w:hAnsi="Liberation Serif" w:cs="FreeSans"/>
                <w:color w:val="auto"/>
                <w:kern w:val="2"/>
                <w:lang w:eastAsia="zh-CN" w:bidi="hi-IN"/>
              </w:rPr>
            </w:pPr>
          </w:p>
        </w:tc>
      </w:tr>
      <w:tr w:rsidR="00DA33B7" w:rsidRPr="00DA33B7" w:rsidTr="00DA33B7">
        <w:trPr>
          <w:trHeight w:val="16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autoSpaceDE w:val="0"/>
              <w:autoSpaceDN w:val="0"/>
              <w:jc w:val="center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Самостійна робота 5.</w:t>
            </w:r>
          </w:p>
        </w:tc>
        <w:tc>
          <w:tcPr>
            <w:tcW w:w="3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Тема. Сучасні тенденції та інновації в методології науково-педагогічної діяльності.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1. Персоналізація та індивідуалізація освітнього процесу.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 xml:space="preserve">2. Розвиток дослідницької культури та проектної діяльності. 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 xml:space="preserve">3. Формування професійних компетентностей та рефлексії викладача. 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  <w:r w:rsidRPr="00DA33B7"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  <w:t>4. Нові підходи до дослідження педагогічних процесів.</w:t>
            </w:r>
          </w:p>
          <w:p w:rsidR="00DA33B7" w:rsidRPr="00DA33B7" w:rsidRDefault="00DA33B7" w:rsidP="00DA33B7">
            <w:pPr>
              <w:suppressAutoHyphens/>
              <w:jc w:val="both"/>
              <w:rPr>
                <w:rFonts w:ascii="Times New Roman" w:eastAsia="Droid Sans Fallback" w:hAnsi="Times New Roman" w:cs="Times New Roman"/>
                <w:color w:val="auto"/>
                <w:kern w:val="2"/>
                <w:sz w:val="22"/>
                <w:szCs w:val="22"/>
                <w:lang w:eastAsia="zh-CN" w:bidi="hi-IN"/>
              </w:rPr>
            </w:pPr>
          </w:p>
        </w:tc>
      </w:tr>
    </w:tbl>
    <w:p w:rsidR="00ED0337" w:rsidRDefault="00ED0337">
      <w:pPr>
        <w:pStyle w:val="3"/>
        <w:shd w:val="clear" w:color="auto" w:fill="auto"/>
        <w:tabs>
          <w:tab w:val="left" w:pos="1457"/>
        </w:tabs>
        <w:spacing w:after="296"/>
        <w:ind w:left="300" w:right="20" w:firstLine="720"/>
        <w:jc w:val="both"/>
      </w:pPr>
    </w:p>
    <w:p w:rsidR="00ED0337" w:rsidRDefault="00ED0337">
      <w:pPr>
        <w:rPr>
          <w:sz w:val="2"/>
          <w:szCs w:val="2"/>
        </w:rPr>
      </w:pPr>
    </w:p>
    <w:p w:rsidR="00ED0337" w:rsidRDefault="00ED0337">
      <w:pPr>
        <w:rPr>
          <w:sz w:val="2"/>
          <w:szCs w:val="2"/>
        </w:rPr>
      </w:pPr>
    </w:p>
    <w:p w:rsidR="00ED0337" w:rsidRDefault="00264351" w:rsidP="00656139">
      <w:pPr>
        <w:pStyle w:val="20"/>
        <w:shd w:val="clear" w:color="auto" w:fill="auto"/>
        <w:spacing w:after="0" w:line="360" w:lineRule="auto"/>
        <w:ind w:firstLine="0"/>
      </w:pPr>
      <w:r>
        <w:t>ЛІТЕРАТУРА</w:t>
      </w:r>
    </w:p>
    <w:p w:rsidR="00656139" w:rsidRPr="00656139" w:rsidRDefault="00656139" w:rsidP="00656139">
      <w:pPr>
        <w:pStyle w:val="20"/>
        <w:shd w:val="clear" w:color="auto" w:fill="auto"/>
        <w:spacing w:after="0" w:line="360" w:lineRule="auto"/>
        <w:ind w:firstLine="0"/>
        <w:rPr>
          <w:sz w:val="28"/>
          <w:szCs w:val="28"/>
        </w:rPr>
      </w:pPr>
      <w:bookmarkStart w:id="1" w:name="_GoBack"/>
      <w:r w:rsidRPr="00656139">
        <w:rPr>
          <w:sz w:val="28"/>
          <w:szCs w:val="28"/>
        </w:rPr>
        <w:t>Основна</w:t>
      </w:r>
    </w:p>
    <w:p w:rsidR="009753F5" w:rsidRPr="009753F5" w:rsidRDefault="009753F5" w:rsidP="009753F5">
      <w:pPr>
        <w:pStyle w:val="a9"/>
        <w:widowControl/>
        <w:numPr>
          <w:ilvl w:val="3"/>
          <w:numId w:val="13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bookmarkStart w:id="2" w:name="bookmark20"/>
      <w:bookmarkEnd w:id="1"/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Зацерковний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В.І.,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Тішаєв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І.В., Демидов В.К. Методологія наукових досліджень :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Ніжин : НДУ ім. М. Гоголя, 2017. 236 с.</w:t>
      </w:r>
    </w:p>
    <w:p w:rsidR="009753F5" w:rsidRPr="009753F5" w:rsidRDefault="009753F5" w:rsidP="009753F5">
      <w:pPr>
        <w:pStyle w:val="a9"/>
        <w:widowControl/>
        <w:numPr>
          <w:ilvl w:val="3"/>
          <w:numId w:val="13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наукових досліджень: Конспект лекцій з навчальної дисципліни для здобувачів другого (магістерського) рівня вищої освіти освітньої програми «Комп’ютерні науки» галузі знань 12 Інформаційні технології 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спеціальності 122 Комп’ютерні науки денної та заочної форм навчання / уклад. І.М.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Козубцов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Луцьк: ЛНТУ, 2022. 242 с.</w:t>
      </w:r>
    </w:p>
    <w:p w:rsidR="009753F5" w:rsidRPr="009753F5" w:rsidRDefault="009753F5" w:rsidP="009753F5">
      <w:pPr>
        <w:pStyle w:val="a9"/>
        <w:widowControl/>
        <w:numPr>
          <w:ilvl w:val="3"/>
          <w:numId w:val="13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Голюк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В., Луценко І., Нагорна І Сучасні тенденції та специфіка науково-дослідної діяльності. </w:t>
      </w:r>
      <w:r w:rsidRPr="009753F5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ar-SA"/>
        </w:rPr>
        <w:t>Економіка та суспільство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2022. Вип. 40.. 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/>
        </w:rPr>
        <w:t>URL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: https://doi.org/10.32782/2524-0072/2022-40-32</w:t>
      </w:r>
    </w:p>
    <w:p w:rsidR="009753F5" w:rsidRPr="009753F5" w:rsidRDefault="009753F5" w:rsidP="009753F5">
      <w:pPr>
        <w:pStyle w:val="a9"/>
        <w:widowControl/>
        <w:numPr>
          <w:ilvl w:val="3"/>
          <w:numId w:val="13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та організація наукових досліджень :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/ І. С. Добронравова, О. В. Руденко, Л. І. Сидоренко та ін. ; за ред. І. С.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Добронравової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(ч. 1), О. В. Руденко (ч. 2). Київ : ВПЦ «Київський університет», 2018. 607 с.</w:t>
      </w:r>
    </w:p>
    <w:p w:rsidR="009753F5" w:rsidRPr="009753F5" w:rsidRDefault="009753F5" w:rsidP="009753F5">
      <w:pPr>
        <w:pStyle w:val="a9"/>
        <w:widowControl/>
        <w:numPr>
          <w:ilvl w:val="3"/>
          <w:numId w:val="13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Дзьобань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О. П. Методологія, організація та технологія наукових досліджень :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для аспірантів / О. П.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Дзьобань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; ДНУ «Ін-т інформації, безпеки і права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Нац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академії прав. наук України». Київ; Одеса : Фенікс, 2025. 284 с.</w:t>
      </w:r>
    </w:p>
    <w:p w:rsidR="009753F5" w:rsidRPr="009753F5" w:rsidRDefault="009753F5" w:rsidP="009753F5">
      <w:pPr>
        <w:pStyle w:val="a9"/>
        <w:widowControl/>
        <w:numPr>
          <w:ilvl w:val="3"/>
          <w:numId w:val="13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наукових досліджень: методичні рекомендації з вивчення дисципліни; ступінь «магістр» / уклад. :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Бочарова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Ю. Г., Ревуцька С. К., Зінченко В. М. Кривий Ріг :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ДонНУЕТ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2023. 54 с.</w:t>
      </w:r>
    </w:p>
    <w:p w:rsidR="009753F5" w:rsidRPr="009753F5" w:rsidRDefault="009753F5" w:rsidP="009753F5">
      <w:pPr>
        <w:pStyle w:val="a9"/>
        <w:widowControl/>
        <w:numPr>
          <w:ilvl w:val="3"/>
          <w:numId w:val="13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Ярощук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Лілія. Основи наукових досліджень.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посібн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Saarbruken-Riga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: LAP LAMBERT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Academic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Publishing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2019. 162 с</w:t>
      </w:r>
    </w:p>
    <w:p w:rsidR="009753F5" w:rsidRPr="009753F5" w:rsidRDefault="009753F5" w:rsidP="009753F5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Додаткова</w:t>
      </w:r>
    </w:p>
    <w:p w:rsidR="009753F5" w:rsidRPr="009753F5" w:rsidRDefault="009753F5" w:rsidP="00656139">
      <w:pPr>
        <w:widowControl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Вдовенко Н. М.,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Сокур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Л. В.,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Михальчишина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Л. Г. Методологія та організація наукових досліджень з основами інтелектуальної власності : методичні вказівки до вивчення дисципліни для студентів ОС «Магістр» спеціальності 051 «Економіка» освітньо-професійної програми «Прикладна економіка». К.: НУБіП України, 2021. 100 с.</w:t>
      </w:r>
    </w:p>
    <w:p w:rsidR="009753F5" w:rsidRPr="009753F5" w:rsidRDefault="009753F5" w:rsidP="00656139">
      <w:pPr>
        <w:widowControl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Іваницький О. І. Особливості вивчення дисципліни «Методологія науково-педагогічних досліджень» у процесі професійної підготовки майбутніх магістрів театрального мистецтва </w:t>
      </w:r>
      <w:r w:rsidRPr="009753F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Методологічні та практичні проблеми професійної підготовки акторів і дизайнерів: матеріали VІ науково-методичного семінару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/ Головні редактори: Г. В.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Локарєва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Ю. В. Гончаренко. Запоріжжя : Запорізький національний університет, 2024. С33-36.</w:t>
      </w:r>
    </w:p>
    <w:p w:rsidR="009753F5" w:rsidRPr="009753F5" w:rsidRDefault="009753F5" w:rsidP="00656139">
      <w:pPr>
        <w:widowControl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Іваницький О. І., Іваницька С. Г.,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Сузанська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Н. С. Поєднання компетентнісного, контекстного та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акмеологічного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підходів до магістерської підготовки майбутніх педагогів закладів вищої освіти</w:t>
      </w:r>
      <w:r w:rsidRPr="009753F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. Науковий журнал </w:t>
      </w:r>
      <w:proofErr w:type="spellStart"/>
      <w:r w:rsidRPr="009753F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Хортицької</w:t>
      </w:r>
      <w:proofErr w:type="spellEnd"/>
      <w:r w:rsidRPr="009753F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національної академії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Серія: Педагогіка. Соціальна робота. 2022.  № 1(6).  C. 15-24.   URL: DOI : https://doi.org/10.51706/2707--3076-2022-6-1.   </w:t>
      </w:r>
    </w:p>
    <w:p w:rsidR="009753F5" w:rsidRPr="009753F5" w:rsidRDefault="009753F5" w:rsidP="00656139">
      <w:pPr>
        <w:widowControl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Іваницький О. І.,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Панічук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М. А.,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Сичева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С. В. Модернізація магістерської підготовки майбутніх педагогів закладів вищої освіти в умовах цифровізації освітнього простору.  </w:t>
      </w:r>
      <w:r w:rsidRPr="009753F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>Педагогічні науки: теорія та практика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 ЗНУ. 2021.  № 3(39).  C. 69-76.   URL: https://doi.org/10.26661/2786-5622-2021-3-09.</w:t>
      </w:r>
    </w:p>
    <w:p w:rsidR="009753F5" w:rsidRPr="009753F5" w:rsidRDefault="009753F5" w:rsidP="00656139">
      <w:pPr>
        <w:widowControl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Методологія і організація наукових досліджень в соціальній роботі. Методичні вказівки до семінарських занять для здобувачів другого рівня вищої освіти. Спеціальності 231 «Соціальна робота» / Укладач: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Коленіченко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Т.І. Чернігів : НУ «Чернігівська політехніка», 2021. 28 с.</w:t>
      </w:r>
    </w:p>
    <w:p w:rsidR="009753F5" w:rsidRPr="009753F5" w:rsidRDefault="009753F5" w:rsidP="00656139">
      <w:pPr>
        <w:widowControl/>
        <w:numPr>
          <w:ilvl w:val="0"/>
          <w:numId w:val="11"/>
        </w:numPr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Основи наукових досліджень :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навч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посіб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для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студ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спеціальності 141 «Електроенергетика, електротехніка та електромеханіка» / КПІ ім. Ігоря </w:t>
      </w: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 xml:space="preserve">Сікорського; уклад.: Г. Г.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Стрелкова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М. М.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Федосенко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А. І. </w:t>
      </w:r>
      <w:proofErr w:type="spellStart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Замулко</w:t>
      </w:r>
      <w:proofErr w:type="spellEnd"/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О. С. Іщенко. Київ : КПІ ім. Ігоря Сікорського, 2019. 120 с.</w:t>
      </w:r>
    </w:p>
    <w:p w:rsidR="009753F5" w:rsidRPr="009753F5" w:rsidRDefault="009753F5" w:rsidP="00656139">
      <w:pPr>
        <w:widowControl/>
        <w:suppressAutoHyphens/>
        <w:ind w:left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753F5" w:rsidRPr="009753F5" w:rsidRDefault="009753F5" w:rsidP="00656139">
      <w:pPr>
        <w:pStyle w:val="31"/>
        <w:keepNext/>
        <w:keepLines/>
        <w:shd w:val="clear" w:color="auto" w:fill="auto"/>
        <w:tabs>
          <w:tab w:val="left" w:pos="227"/>
          <w:tab w:val="left" w:pos="3610"/>
        </w:tabs>
        <w:spacing w:before="120" w:line="240" w:lineRule="auto"/>
        <w:ind w:firstLine="0"/>
        <w:jc w:val="center"/>
      </w:pPr>
      <w:r w:rsidRPr="009753F5">
        <w:t>Інформаційні ресурси</w:t>
      </w:r>
    </w:p>
    <w:p w:rsidR="009753F5" w:rsidRPr="009753F5" w:rsidRDefault="009753F5" w:rsidP="00656139">
      <w:pPr>
        <w:widowControl/>
        <w:numPr>
          <w:ilvl w:val="0"/>
          <w:numId w:val="10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ДСТУ 8302: 2015. URL: http://lib.pnu.edu.ua/files/dstu-8302-2015.pdf</w:t>
      </w:r>
    </w:p>
    <w:p w:rsidR="009753F5" w:rsidRPr="009753F5" w:rsidRDefault="009753F5" w:rsidP="00656139">
      <w:pPr>
        <w:widowControl/>
        <w:numPr>
          <w:ilvl w:val="0"/>
          <w:numId w:val="10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Закон України про вищу освіту. URL:  http://zakon4.rada.gov.ua/laws/show/2984-14.</w:t>
      </w:r>
    </w:p>
    <w:p w:rsidR="009753F5" w:rsidRPr="009753F5" w:rsidRDefault="009753F5" w:rsidP="00656139">
      <w:pPr>
        <w:widowControl/>
        <w:numPr>
          <w:ilvl w:val="0"/>
          <w:numId w:val="10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Закон України «Про освіту». URL: http://zakon.rada.gov.ua/laws/show/2145-19</w:t>
      </w:r>
    </w:p>
    <w:p w:rsidR="009753F5" w:rsidRPr="009753F5" w:rsidRDefault="009753F5" w:rsidP="00656139">
      <w:pPr>
        <w:widowControl/>
        <w:numPr>
          <w:ilvl w:val="0"/>
          <w:numId w:val="10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753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Острів знань. URL: http://www.ostriv.in.uaПриклади оформлення використаних джерел. URL: http://www.kdu.edu.ua/GV_jurnal/pryklad_oformlennya_lit_dzherel.pdf</w:t>
      </w:r>
    </w:p>
    <w:bookmarkEnd w:id="2"/>
    <w:p w:rsidR="00ED0337" w:rsidRPr="009753F5" w:rsidRDefault="00ED0337" w:rsidP="00656139">
      <w:pPr>
        <w:pStyle w:val="20"/>
        <w:shd w:val="clear" w:color="auto" w:fill="auto"/>
        <w:spacing w:after="0" w:line="322" w:lineRule="exact"/>
        <w:ind w:left="660"/>
        <w:jc w:val="both"/>
        <w:rPr>
          <w:sz w:val="28"/>
          <w:szCs w:val="28"/>
        </w:rPr>
      </w:pPr>
    </w:p>
    <w:sectPr w:rsidR="00ED0337" w:rsidRPr="009753F5">
      <w:type w:val="continuous"/>
      <w:pgSz w:w="11909" w:h="16838"/>
      <w:pgMar w:top="1148" w:right="957" w:bottom="1153" w:left="9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51" w:rsidRDefault="00264351">
      <w:r>
        <w:separator/>
      </w:r>
    </w:p>
  </w:endnote>
  <w:endnote w:type="continuationSeparator" w:id="0">
    <w:p w:rsidR="00264351" w:rsidRDefault="0026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Arial Unicode MS"/>
    <w:charset w:val="80"/>
    <w:family w:val="swiss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51" w:rsidRDefault="00264351"/>
  </w:footnote>
  <w:footnote w:type="continuationSeparator" w:id="0">
    <w:p w:rsidR="00264351" w:rsidRDefault="002643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EE4"/>
    <w:multiLevelType w:val="multilevel"/>
    <w:tmpl w:val="DB74A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01A5F"/>
    <w:multiLevelType w:val="hybridMultilevel"/>
    <w:tmpl w:val="56FA0F48"/>
    <w:lvl w:ilvl="0" w:tplc="A5D2D582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5A1548"/>
    <w:multiLevelType w:val="multilevel"/>
    <w:tmpl w:val="40EC2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02365"/>
    <w:multiLevelType w:val="multilevel"/>
    <w:tmpl w:val="1DE8A4BC"/>
    <w:lvl w:ilvl="0">
      <w:start w:val="6"/>
      <w:numFmt w:val="decimal"/>
      <w:suff w:val="space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CD009F7"/>
    <w:multiLevelType w:val="multilevel"/>
    <w:tmpl w:val="DD662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7D6210"/>
    <w:multiLevelType w:val="multilevel"/>
    <w:tmpl w:val="718454D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CC224F"/>
    <w:multiLevelType w:val="multilevel"/>
    <w:tmpl w:val="B2B2C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8A68EC"/>
    <w:multiLevelType w:val="multilevel"/>
    <w:tmpl w:val="7B92F714"/>
    <w:lvl w:ilvl="0">
      <w:start w:val="6"/>
      <w:numFmt w:val="decimal"/>
      <w:suff w:val="space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2" w:firstLine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4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8CF09DA"/>
    <w:multiLevelType w:val="multilevel"/>
    <w:tmpl w:val="5D8C5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8A7CF2"/>
    <w:multiLevelType w:val="hybridMultilevel"/>
    <w:tmpl w:val="DF566F58"/>
    <w:lvl w:ilvl="0" w:tplc="9516165A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A8252B"/>
    <w:multiLevelType w:val="multilevel"/>
    <w:tmpl w:val="3A9CC1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8342DD"/>
    <w:multiLevelType w:val="multilevel"/>
    <w:tmpl w:val="A1A60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7F674A"/>
    <w:multiLevelType w:val="multilevel"/>
    <w:tmpl w:val="A13E3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37"/>
    <w:rsid w:val="00264351"/>
    <w:rsid w:val="00656139"/>
    <w:rsid w:val="009753F5"/>
    <w:rsid w:val="00DA33B7"/>
    <w:rsid w:val="00E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48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№3_"/>
    <w:basedOn w:val="a0"/>
    <w:link w:val="31"/>
    <w:rsid w:val="009753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9753F5"/>
    <w:pPr>
      <w:shd w:val="clear" w:color="auto" w:fill="FFFFFF"/>
      <w:spacing w:line="298" w:lineRule="exact"/>
      <w:ind w:hanging="34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9">
    <w:name w:val="List Paragraph"/>
    <w:basedOn w:val="a"/>
    <w:uiPriority w:val="34"/>
    <w:qFormat/>
    <w:rsid w:val="00975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480" w:line="322" w:lineRule="exact"/>
      <w:ind w:hanging="3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№3_"/>
    <w:basedOn w:val="a0"/>
    <w:link w:val="31"/>
    <w:rsid w:val="009753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9753F5"/>
    <w:pPr>
      <w:shd w:val="clear" w:color="auto" w:fill="FFFFFF"/>
      <w:spacing w:line="298" w:lineRule="exact"/>
      <w:ind w:hanging="34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9">
    <w:name w:val="List Paragraph"/>
    <w:basedOn w:val="a"/>
    <w:uiPriority w:val="34"/>
    <w:qFormat/>
    <w:rsid w:val="0097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7743</Words>
  <Characters>4415</Characters>
  <Application>Microsoft Office Word</Application>
  <DocSecurity>0</DocSecurity>
  <Lines>36</Lines>
  <Paragraphs>24</Paragraphs>
  <ScaleCrop>false</ScaleCrop>
  <Company>SPecialiST RePack</Company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2025-10-26T20:30:00Z</dcterms:created>
  <dcterms:modified xsi:type="dcterms:W3CDTF">2025-10-26T20:45:00Z</dcterms:modified>
</cp:coreProperties>
</file>