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8FE7" w14:textId="77777777" w:rsidR="00F06A80" w:rsidRPr="003A4AC8" w:rsidRDefault="00F06A80" w:rsidP="00F06A80">
      <w:pPr>
        <w:suppressAutoHyphens/>
        <w:autoSpaceDN w:val="0"/>
        <w:ind w:left="927"/>
        <w:jc w:val="center"/>
        <w:rPr>
          <w:b/>
          <w:sz w:val="20"/>
          <w:szCs w:val="20"/>
          <w:lang w:val="uk-UA" w:eastAsia="zh-CN"/>
        </w:rPr>
      </w:pPr>
      <w:r w:rsidRPr="003A4AC8">
        <w:rPr>
          <w:b/>
          <w:sz w:val="20"/>
          <w:szCs w:val="20"/>
          <w:lang w:val="uk-UA" w:eastAsia="zh-CN"/>
        </w:rPr>
        <w:t xml:space="preserve">5. Види і зміст контрольних заходів </w:t>
      </w:r>
    </w:p>
    <w:tbl>
      <w:tblPr>
        <w:tblW w:w="100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260"/>
        <w:gridCol w:w="3261"/>
        <w:gridCol w:w="711"/>
      </w:tblGrid>
      <w:tr w:rsidR="00F06A80" w:rsidRPr="003A4AC8" w14:paraId="432FFD7C" w14:textId="77777777" w:rsidTr="008333BE">
        <w:trPr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73C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Вид заняття/роботи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CA6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Вид поточного контрольного заходу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A5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Зміст контрольного заходу*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EF3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Критерії оцінювання</w:t>
            </w:r>
          </w:p>
          <w:p w14:paraId="49C3077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та термін виконання 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145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Усього балів</w:t>
            </w:r>
          </w:p>
        </w:tc>
      </w:tr>
      <w:tr w:rsidR="00F06A80" w:rsidRPr="003A4AC8" w14:paraId="74692BE1" w14:textId="77777777" w:rsidTr="008333BE">
        <w:trPr>
          <w:trHeight w:val="2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A8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9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F4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22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5F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5</w:t>
            </w:r>
          </w:p>
        </w:tc>
      </w:tr>
      <w:tr w:rsidR="00F06A80" w:rsidRPr="003A4AC8" w14:paraId="58632982" w14:textId="77777777" w:rsidTr="008333BE">
        <w:trPr>
          <w:trHeight w:val="27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2D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На початку аудиторного заняття протягом семестру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145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Бліц-опитування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D1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Проміжний оглядовий зріз знань за темами минулих лекцій і практичних занять (до 10 хвилин): самостійне опрацювання теоретичного (рівень «відтворення» та «розуміння») та практичного (рівень «застосування» та «створення») навчального матеріалу; формат - групові та індивідуальні завдання, обговорення та дискусія.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22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Передбачає надання повних відповідей і доповнень; спонукає здобувачів до систематичної самостійної роботи при підготовці до поточних занять; активізує абстрактне мислення із застосуванням методу аналізу та синтезу;  не передбачає бального оцінювання.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77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-</w:t>
            </w:r>
          </w:p>
        </w:tc>
      </w:tr>
      <w:tr w:rsidR="00F06A80" w:rsidRPr="003A4AC8" w14:paraId="76EDD46D" w14:textId="77777777" w:rsidTr="008333BE">
        <w:trPr>
          <w:trHeight w:val="343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9F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Поточний контроль</w:t>
            </w:r>
          </w:p>
        </w:tc>
      </w:tr>
      <w:tr w:rsidR="00F06A80" w:rsidRPr="003A4AC8" w14:paraId="72F2D0BB" w14:textId="77777777" w:rsidTr="008333BE">
        <w:trPr>
          <w:trHeight w:val="343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23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1</w:t>
            </w:r>
          </w:p>
        </w:tc>
      </w:tr>
      <w:tr w:rsidR="00F06A80" w:rsidRPr="003A4AC8" w14:paraId="2A05E350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B7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A55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35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за матеріалом лекції №1. </w:t>
            </w:r>
          </w:p>
          <w:p w14:paraId="6E41947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64E951E0" w14:textId="77777777" w:rsidR="00F06A80" w:rsidRPr="00BD2506" w:rsidRDefault="00F06A80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  <w:t>Еволюція УЛР: історична ретроспектива від "відділу кадрів" (кадрове адміністрування) до "стратегічного бізнес-партнера" (модель Д. Ульріха).</w:t>
            </w:r>
          </w:p>
          <w:p w14:paraId="65F6E480" w14:textId="77777777" w:rsidR="00F06A80" w:rsidRPr="00BD2506" w:rsidRDefault="00F06A80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2.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Характеристики економіки знань у порівнянні з індустріальною (ключовий актив: знання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. капітал).</w:t>
            </w:r>
          </w:p>
          <w:p w14:paraId="4BA8F271" w14:textId="77777777" w:rsidR="00F06A80" w:rsidRPr="00BD2506" w:rsidRDefault="00F06A80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3.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Постать "працівника знань" (за П.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Друкером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 та трансформація "психологічного контракту" між компанією та співробітником.</w:t>
            </w:r>
          </w:p>
          <w:p w14:paraId="2B69C121" w14:textId="77777777" w:rsidR="00F06A80" w:rsidRPr="00BD2506" w:rsidRDefault="00F06A80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4.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Аналіз сучасних викликів: концепція VUCA-світу, всеосяжна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цифровізація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демографічні зміни (теорія поколінь) та глобалізація.</w:t>
            </w:r>
          </w:p>
          <w:p w14:paraId="1322CDEE" w14:textId="77777777" w:rsidR="00F06A80" w:rsidRDefault="00F06A80" w:rsidP="008333BE">
            <w:pPr>
              <w:widowControl w:val="0"/>
              <w:tabs>
                <w:tab w:val="left" w:pos="25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5.</w:t>
            </w:r>
            <w:r w:rsidRPr="00BD2506">
              <w:rPr>
                <w:sz w:val="20"/>
                <w:szCs w:val="20"/>
                <w:lang w:val="uk-UA"/>
              </w:rPr>
              <w:tab/>
              <w:t>Гнучкі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Agile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 підходи в HR як відповідь на зростаючу невизначеність.</w:t>
            </w:r>
          </w:p>
          <w:p w14:paraId="3942ED1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578F609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EEF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6473AA4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44595DD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33728D8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4CAB336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5EDFD05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4B48258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29D4349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4CF22D1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01B8B9F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26C27D0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0E42BED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31A064B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7145CC0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DD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6329A352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A3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EE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D9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лекції №2. </w:t>
            </w:r>
          </w:p>
          <w:p w14:paraId="257ADF2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75D0A034" w14:textId="77777777" w:rsidR="00F06A80" w:rsidRPr="00BD2506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Теорія людського капіталу (Г.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Беккер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Т. Шульц): інвестиційний підхід до розвитку співробітників.</w:t>
            </w:r>
          </w:p>
          <w:p w14:paraId="5F9EE971" w14:textId="77777777" w:rsidR="00F06A80" w:rsidRPr="00BD2506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2.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Структура інтелектуального капіталу (за Л.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Едвінссоном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): людський, структурний (організаційний) та реляційний (клієнтський) капітал.</w:t>
            </w:r>
          </w:p>
          <w:p w14:paraId="6E6E8C4F" w14:textId="77777777" w:rsidR="00F06A80" w:rsidRPr="00BD2506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3.</w:t>
            </w:r>
            <w:r w:rsidRPr="00BD2506">
              <w:rPr>
                <w:sz w:val="20"/>
                <w:szCs w:val="20"/>
                <w:lang w:val="uk-UA"/>
              </w:rPr>
              <w:tab/>
              <w:t>Концепція управління знаннями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Knowledge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Management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). </w:t>
            </w:r>
            <w:r w:rsidRPr="00BD2506">
              <w:rPr>
                <w:sz w:val="20"/>
                <w:szCs w:val="20"/>
                <w:lang w:val="uk-UA"/>
              </w:rPr>
              <w:lastRenderedPageBreak/>
              <w:t xml:space="preserve">Модель SECI (Соціалізація,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Екстерналізація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, Комбінація,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Інтерналізація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) І.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Нонаки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та Х.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Такеучі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.</w:t>
            </w:r>
          </w:p>
          <w:p w14:paraId="2209A0FF" w14:textId="77777777" w:rsidR="00F06A80" w:rsidRPr="00BD2506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4.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Концепція "організації, що навчається" (за П.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Сенге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 та роль HR у її побудові.</w:t>
            </w:r>
          </w:p>
          <w:p w14:paraId="6672187F" w14:textId="77777777" w:rsidR="00F06A80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5.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Методи оцінки нематеріальних активів (напр., коефіцієнт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Тобіна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 та вступ до ролі HR-аналітики у вимірюванні капіталу.</w:t>
            </w:r>
          </w:p>
          <w:p w14:paraId="4222B360" w14:textId="77777777" w:rsidR="00F06A80" w:rsidRPr="003A4AC8" w:rsidRDefault="00F06A80" w:rsidP="008333BE">
            <w:pPr>
              <w:widowControl w:val="0"/>
              <w:tabs>
                <w:tab w:val="left" w:pos="39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</w:p>
          <w:p w14:paraId="484851A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D1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Тестові питання оцінюються: </w:t>
            </w:r>
          </w:p>
          <w:p w14:paraId="2841C23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20.  </w:t>
            </w:r>
          </w:p>
          <w:p w14:paraId="7DC4CBE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01CEB2B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71ABA61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610FD1B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36ED591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4A7F614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13C3DB2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5BBB326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3789349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9-10 – 5 балів. </w:t>
            </w:r>
          </w:p>
          <w:p w14:paraId="25B468C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1523F91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2018226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51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</w:tr>
      <w:tr w:rsidR="00F06A80" w:rsidRPr="003A4AC8" w14:paraId="2989CA2D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89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4C1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Практична робота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1F2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1. </w:t>
            </w:r>
          </w:p>
          <w:p w14:paraId="66390E75" w14:textId="77777777" w:rsidR="00F06A80" w:rsidRPr="003A4AC8" w:rsidRDefault="00F06A80" w:rsidP="008333BE">
            <w:pPr>
              <w:pStyle w:val="af3"/>
              <w:numPr>
                <w:ilvl w:val="0"/>
                <w:numId w:val="1"/>
              </w:numPr>
              <w:tabs>
                <w:tab w:val="left" w:pos="330"/>
              </w:tabs>
              <w:jc w:val="both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Ключові індикатори, що відрізняють адміністративну модель УЛР від моделі стратегічного бізнес-партнерства (за Д. Ульріхом).</w:t>
            </w:r>
          </w:p>
          <w:p w14:paraId="35EC8DC6" w14:textId="77777777" w:rsidR="00F06A80" w:rsidRPr="003A4AC8" w:rsidRDefault="00F06A80" w:rsidP="008333BE">
            <w:pPr>
              <w:pStyle w:val="af3"/>
              <w:numPr>
                <w:ilvl w:val="0"/>
                <w:numId w:val="1"/>
              </w:numPr>
              <w:tabs>
                <w:tab w:val="left" w:pos="330"/>
              </w:tabs>
              <w:ind w:left="30" w:firstLine="0"/>
              <w:jc w:val="both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Компоненти інтелектуального капіталу (людський, структурний, реляційний).</w:t>
            </w:r>
          </w:p>
          <w:p w14:paraId="4F07B4A7" w14:textId="77777777" w:rsidR="00F06A80" w:rsidRPr="003A4AC8" w:rsidRDefault="00F06A80" w:rsidP="008333BE">
            <w:pPr>
              <w:pStyle w:val="af3"/>
              <w:numPr>
                <w:ilvl w:val="0"/>
                <w:numId w:val="1"/>
              </w:numPr>
              <w:tabs>
                <w:tab w:val="left" w:pos="330"/>
              </w:tabs>
              <w:ind w:left="30" w:firstLine="0"/>
              <w:jc w:val="both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HR-практики, що стимулюють або блокують обмін знаннями (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Knowledge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Management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).</w:t>
            </w:r>
          </w:p>
          <w:p w14:paraId="75AA4EB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>Пріоритетні типі інтелектуального капіталу для компаній різних галузей.</w:t>
            </w:r>
          </w:p>
          <w:p w14:paraId="2199EF50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</w:p>
          <w:p w14:paraId="297E923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D7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1525C8C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6595051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20F1FC8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7E72B75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6F3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6356A02C" w14:textId="77777777" w:rsidTr="008333BE">
        <w:trPr>
          <w:trHeight w:val="352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13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2</w:t>
            </w:r>
          </w:p>
        </w:tc>
      </w:tr>
      <w:tr w:rsidR="00F06A80" w:rsidRPr="003A4AC8" w14:paraId="320E8020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EF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№3-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4B0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BA0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за матеріалом лекції №3-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3A72CB9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60F9837F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  <w:t>Бренд роботодавця: зовнішній (для кандидатів) та внутрішній (для співробітників).</w:t>
            </w:r>
          </w:p>
          <w:p w14:paraId="5F3693F3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2.</w:t>
            </w:r>
            <w:r w:rsidRPr="00BD2506">
              <w:rPr>
                <w:sz w:val="20"/>
                <w:szCs w:val="20"/>
                <w:lang w:val="uk-UA"/>
              </w:rPr>
              <w:tab/>
              <w:t>Ціннісна пропозиція роботодавця (ЦПР, або EVP): розробка та комунікація ключових переваг.</w:t>
            </w:r>
          </w:p>
          <w:p w14:paraId="4BD6B1EF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3.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Сучасний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рекрутинг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: соціальний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сорсинг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використання ШІ, роль систем відстеження кандидатів (ATS).</w:t>
            </w:r>
          </w:p>
          <w:p w14:paraId="067503CE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4.</w:t>
            </w:r>
            <w:r w:rsidRPr="00BD2506">
              <w:rPr>
                <w:sz w:val="20"/>
                <w:szCs w:val="20"/>
                <w:lang w:val="uk-UA"/>
              </w:rPr>
              <w:tab/>
              <w:t>Проектування "досвіду кандидата"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Candidate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Experience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): аналіз шляху та точок контакту.</w:t>
            </w:r>
          </w:p>
          <w:p w14:paraId="521FB17A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5.</w:t>
            </w:r>
            <w:r w:rsidRPr="00BD2506">
              <w:rPr>
                <w:sz w:val="20"/>
                <w:szCs w:val="20"/>
                <w:lang w:val="uk-UA"/>
              </w:rPr>
              <w:tab/>
              <w:t>Ефективна адаптація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онбординг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): відмінність від орієнтації, план 30-60-90 днів, роль менеджера, HR та "бадді" (наставника).</w:t>
            </w:r>
          </w:p>
          <w:p w14:paraId="24E885A4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lastRenderedPageBreak/>
              <w:t>6.</w:t>
            </w:r>
            <w:r w:rsidRPr="00BD2506">
              <w:rPr>
                <w:sz w:val="20"/>
                <w:szCs w:val="20"/>
                <w:lang w:val="uk-UA"/>
              </w:rPr>
              <w:tab/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Компетентнісний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підхід: розробка та впровадження моделей компетенцій (професійні, особистісні, лідерські).</w:t>
            </w:r>
          </w:p>
          <w:p w14:paraId="075BA2C6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7.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Архітектура корпоративного навчання: Системи управління навчанням (СУН/LMS)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. Платформи навчального досвіду (LXP). Перехід до самокерованого навчання.</w:t>
            </w:r>
          </w:p>
          <w:p w14:paraId="61803043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8.</w:t>
            </w:r>
            <w:r w:rsidRPr="00BD2506">
              <w:rPr>
                <w:sz w:val="20"/>
                <w:szCs w:val="20"/>
                <w:lang w:val="uk-UA"/>
              </w:rPr>
              <w:tab/>
              <w:t>Модель "70-20-10" як філософія розвитку (навчання через досвід, соціальне та формальне).</w:t>
            </w:r>
          </w:p>
          <w:p w14:paraId="0DC86C3C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9.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Ключові інструменти розвитку: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коучинг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менторство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ротації, проектна діяльність.</w:t>
            </w:r>
          </w:p>
          <w:p w14:paraId="5CECF0DE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10.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Оцінка ефективності навчання (4-рівнева модель Д.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Кіркпатріка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 та її зв'язок із плануванням наступництва (кадровим резервом).</w:t>
            </w:r>
          </w:p>
          <w:p w14:paraId="08E161E6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11.</w:t>
            </w:r>
            <w:r w:rsidRPr="00BD2506">
              <w:rPr>
                <w:sz w:val="20"/>
                <w:szCs w:val="20"/>
                <w:lang w:val="uk-UA"/>
              </w:rPr>
              <w:tab/>
              <w:t>Еволюція управління ефективністю: від традиційної атестації до безперервного зворотного зв'язку.</w:t>
            </w:r>
          </w:p>
          <w:p w14:paraId="49756196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12.</w:t>
            </w:r>
            <w:r w:rsidRPr="00BD2506">
              <w:rPr>
                <w:sz w:val="20"/>
                <w:szCs w:val="20"/>
                <w:lang w:val="uk-UA"/>
              </w:rPr>
              <w:tab/>
              <w:t>Сучасні методології: цілі та ключові результати (ЦКР/OKR) та їх відмінність від KPI. Концепція CFR (діалоги, зворотний зв'язок, визнання).</w:t>
            </w:r>
          </w:p>
          <w:p w14:paraId="372D97B3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13.</w:t>
            </w:r>
            <w:r w:rsidRPr="00BD2506">
              <w:rPr>
                <w:sz w:val="20"/>
                <w:szCs w:val="20"/>
                <w:lang w:val="uk-UA"/>
              </w:rPr>
              <w:tab/>
              <w:t>Побудова систем сукупної винагороди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Total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Rewards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): баланс матеріальних (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грейди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бонуси) та нематеріальних (визнання, гнучкість) стимулів.</w:t>
            </w:r>
          </w:p>
          <w:p w14:paraId="6B21908E" w14:textId="77777777" w:rsidR="00F06A80" w:rsidRPr="00BD2506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14.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Мотивація працівників знань: теорія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самодетермінації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, концепція "Драйв" Д. Пінка (автономія, майстерність, мета).</w:t>
            </w:r>
          </w:p>
          <w:p w14:paraId="01B39253" w14:textId="77777777" w:rsidR="00F06A80" w:rsidRDefault="00F06A80" w:rsidP="008333BE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15.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Управління залученістю (індекс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eNPS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) та стратегії утримання: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проактивні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 xml:space="preserve"> ("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stay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-інтерв'ю") та реактивні ("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exit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-інтерв'ю").</w:t>
            </w:r>
          </w:p>
          <w:p w14:paraId="61011BA5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028E6A34" w14:textId="77777777" w:rsidR="00F06A80" w:rsidRPr="002C0DA3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E8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Тестові питання оцінюються: </w:t>
            </w:r>
          </w:p>
          <w:p w14:paraId="3A732F6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6FED810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057B5C0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68876A9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2E11E79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7FEE94E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7ED31DD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042D66C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5CCBA7E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0BF4D55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4AA9E3B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7292C82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0414D7E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0F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308D9C07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178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FF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Практична робота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2A6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2. </w:t>
            </w:r>
          </w:p>
          <w:p w14:paraId="69C3A935" w14:textId="77777777" w:rsidR="00F06A80" w:rsidRPr="00BD2506" w:rsidRDefault="00F06A80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1.</w:t>
            </w:r>
            <w:r w:rsidRPr="00BD2506">
              <w:rPr>
                <w:sz w:val="20"/>
                <w:szCs w:val="20"/>
                <w:lang w:val="uk-UA"/>
              </w:rPr>
              <w:tab/>
              <w:t>Сутність "ціннісної пропозиції роботодавця" (ЦПР) та її роль як ядра бренду роботодавця.</w:t>
            </w:r>
          </w:p>
          <w:p w14:paraId="123F4B38" w14:textId="77777777" w:rsidR="00F06A80" w:rsidRPr="00BD2506" w:rsidRDefault="00F06A80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2.</w:t>
            </w:r>
            <w:r w:rsidRPr="00BD2506">
              <w:rPr>
                <w:sz w:val="20"/>
                <w:szCs w:val="20"/>
                <w:lang w:val="uk-UA"/>
              </w:rPr>
              <w:tab/>
              <w:t>Ключові компоненти ЦПР (винагорода, кар'єра, культура, баланс, середовище).</w:t>
            </w:r>
          </w:p>
          <w:p w14:paraId="21356B94" w14:textId="77777777" w:rsidR="00F06A80" w:rsidRPr="00BD2506" w:rsidRDefault="00F06A80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3.</w:t>
            </w:r>
            <w:r w:rsidRPr="00BD2506">
              <w:rPr>
                <w:sz w:val="20"/>
                <w:szCs w:val="20"/>
                <w:lang w:val="uk-UA"/>
              </w:rPr>
              <w:tab/>
              <w:t xml:space="preserve">Сегментація ЦПР, аналіз відмінності пропозицій для різних цільових аудиторій (стажер </w:t>
            </w:r>
            <w:proofErr w:type="spellStart"/>
            <w:r w:rsidRPr="00BD2506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BD2506">
              <w:rPr>
                <w:sz w:val="20"/>
                <w:szCs w:val="20"/>
                <w:lang w:val="uk-UA"/>
              </w:rPr>
              <w:t>. топ-менеджер).</w:t>
            </w:r>
          </w:p>
          <w:p w14:paraId="196CC424" w14:textId="77777777" w:rsidR="00F06A80" w:rsidRDefault="00F06A80" w:rsidP="008333BE">
            <w:pPr>
              <w:widowControl w:val="0"/>
              <w:tabs>
                <w:tab w:val="left" w:pos="30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BD2506">
              <w:rPr>
                <w:sz w:val="20"/>
                <w:szCs w:val="20"/>
                <w:lang w:val="uk-UA"/>
              </w:rPr>
              <w:t>4.</w:t>
            </w:r>
            <w:r w:rsidRPr="00BD2506">
              <w:rPr>
                <w:sz w:val="20"/>
                <w:szCs w:val="20"/>
                <w:lang w:val="uk-UA"/>
              </w:rPr>
              <w:tab/>
              <w:t>Внутрішні та зовнішні методи аналізу ЦПР компанії та її конкурентів.</w:t>
            </w:r>
          </w:p>
          <w:p w14:paraId="7CAD557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20B4C5D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76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Практична робота оцінюється комплексно максимально у 5 балів: </w:t>
            </w:r>
          </w:p>
          <w:p w14:paraId="72E4D25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4F67776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4F5D869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5201EBB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55B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76BE5522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6E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038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743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2. </w:t>
            </w:r>
          </w:p>
          <w:p w14:paraId="177873AF" w14:textId="77777777" w:rsidR="00F06A80" w:rsidRPr="003A4AC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>1. Поняття "індивідуальний план розвитку" (ІПР) та його мета в системі управління талантами.</w:t>
            </w:r>
          </w:p>
          <w:p w14:paraId="02FAB8D9" w14:textId="77777777" w:rsidR="00F06A80" w:rsidRPr="003A4AC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2. Сутність моделі розвитку "70-20-10" та особливості </w:t>
            </w:r>
            <w:proofErr w:type="spellStart"/>
            <w:r w:rsidRPr="003A4AC8">
              <w:rPr>
                <w:rFonts w:eastAsia="Calibri"/>
                <w:sz w:val="20"/>
                <w:szCs w:val="20"/>
                <w:lang w:val="uk-UA"/>
              </w:rPr>
              <w:t>активностей</w:t>
            </w:r>
            <w:proofErr w:type="spellEnd"/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 для кожної складової.</w:t>
            </w:r>
          </w:p>
          <w:p w14:paraId="6792201E" w14:textId="77777777" w:rsidR="00F06A80" w:rsidRPr="003A4AC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3. Відмінності між </w:t>
            </w:r>
            <w:proofErr w:type="spellStart"/>
            <w:r w:rsidRPr="003A4AC8">
              <w:rPr>
                <w:rFonts w:eastAsia="Calibri"/>
                <w:sz w:val="20"/>
                <w:szCs w:val="20"/>
                <w:lang w:val="uk-UA"/>
              </w:rPr>
              <w:t>коучингом</w:t>
            </w:r>
            <w:proofErr w:type="spellEnd"/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A4AC8">
              <w:rPr>
                <w:rFonts w:eastAsia="Calibri"/>
                <w:sz w:val="20"/>
                <w:szCs w:val="20"/>
                <w:lang w:val="uk-UA"/>
              </w:rPr>
              <w:t>менторством</w:t>
            </w:r>
            <w:proofErr w:type="spellEnd"/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 та директивним наставництвом.</w:t>
            </w:r>
          </w:p>
          <w:p w14:paraId="6BE6FD15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4. Етапи </w:t>
            </w:r>
            <w:proofErr w:type="spellStart"/>
            <w:r w:rsidRPr="003A4AC8">
              <w:rPr>
                <w:rFonts w:eastAsia="Calibri"/>
                <w:sz w:val="20"/>
                <w:szCs w:val="20"/>
                <w:lang w:val="uk-UA"/>
              </w:rPr>
              <w:t>коучингової</w:t>
            </w:r>
            <w:proofErr w:type="spellEnd"/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 моделі GROW та роль менеджера-</w:t>
            </w:r>
            <w:proofErr w:type="spellStart"/>
            <w:r w:rsidRPr="003A4AC8">
              <w:rPr>
                <w:rFonts w:eastAsia="Calibri"/>
                <w:sz w:val="20"/>
                <w:szCs w:val="20"/>
                <w:lang w:val="uk-UA"/>
              </w:rPr>
              <w:t>коуча</w:t>
            </w:r>
            <w:proofErr w:type="spellEnd"/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 на кожному з них.</w:t>
            </w:r>
          </w:p>
          <w:p w14:paraId="17880BD6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593AD84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75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3754CF8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4BAAC70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71A27F4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01FAC7C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B4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48DE3045" w14:textId="77777777" w:rsidTr="008333BE">
        <w:trPr>
          <w:trHeight w:val="352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83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3</w:t>
            </w:r>
          </w:p>
        </w:tc>
      </w:tr>
      <w:tr w:rsidR="00F06A80" w:rsidRPr="003A4AC8" w14:paraId="7B283862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54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6</w:t>
            </w:r>
            <w:r w:rsidRPr="003A4AC8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E7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28B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 за матеріалом лекції №6</w:t>
            </w:r>
            <w:r>
              <w:rPr>
                <w:sz w:val="20"/>
                <w:szCs w:val="20"/>
                <w:lang w:val="uk-UA"/>
              </w:rPr>
              <w:t>-7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4D0DCBF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2556AF61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Ландшафт HR-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Tech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: Інформаційні системи (ІСУП/HRIS)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vs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. Системи управління людським капіталом (HCM).</w:t>
            </w:r>
          </w:p>
          <w:p w14:paraId="0992DE41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2C0DA3">
              <w:rPr>
                <w:sz w:val="20"/>
                <w:szCs w:val="20"/>
                <w:lang w:val="uk-UA"/>
              </w:rPr>
              <w:t>Роботизована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автоматизація процесів (РАП/RPA) в HR: автоматизація кадрового діловодства та розрахунку заробітної плати.</w:t>
            </w:r>
          </w:p>
          <w:p w14:paraId="62651810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Портали самообслуговування співробітників (ESS) та менеджерів (MSS) як інструмент оптимізації.</w:t>
            </w:r>
          </w:p>
          <w:p w14:paraId="5B58FD58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 xml:space="preserve">Практичне застосування ШІ в HR (окрім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рекрутингу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): персоналізоване навчання, аналіз настроїв, чат-боти.</w:t>
            </w:r>
          </w:p>
          <w:p w14:paraId="7FFC0982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Етика та безпека: дотримання регламентів захисту даних (GDPR), проблема алгоритмічної упередженості.</w:t>
            </w:r>
          </w:p>
          <w:p w14:paraId="0305B9B0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 xml:space="preserve">Рівні аналітичної зрілості: Описова (що сталося?) Діагностична (чому?)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Предиктивна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(що станеться?)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Прескриптивна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(що робити?).</w:t>
            </w:r>
          </w:p>
          <w:p w14:paraId="0DB1595A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Ключові HR-метрики та їх інтерпретація: плинність кадрів, вартість найму, час закриття вакансії, рівень залученості, ROI навчання.</w:t>
            </w:r>
          </w:p>
          <w:p w14:paraId="67BD7EF4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 xml:space="preserve">Навичка "розповіді на основі </w:t>
            </w:r>
            <w:r w:rsidRPr="002C0DA3">
              <w:rPr>
                <w:sz w:val="20"/>
                <w:szCs w:val="20"/>
                <w:lang w:val="uk-UA"/>
              </w:rPr>
              <w:lastRenderedPageBreak/>
              <w:t>даних"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Data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Storytelling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): як візуалізувати дані (HR-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дашборди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 та презентувати їх керівництву.</w:t>
            </w:r>
          </w:p>
          <w:p w14:paraId="6BBC3C64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 xml:space="preserve">Практичні приклади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предиктивної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(прогнозної) аналітики: моделювання "ризику звільнення" ключових співробітників.</w:t>
            </w:r>
          </w:p>
          <w:p w14:paraId="2F65BBCB" w14:textId="77777777" w:rsidR="00F06A80" w:rsidRPr="002C0DA3" w:rsidRDefault="00F06A80" w:rsidP="008333BE">
            <w:pPr>
              <w:pStyle w:val="af3"/>
              <w:widowControl w:val="0"/>
              <w:numPr>
                <w:ilvl w:val="0"/>
                <w:numId w:val="3"/>
              </w:numPr>
              <w:tabs>
                <w:tab w:val="left" w:pos="410"/>
              </w:tabs>
              <w:suppressAutoHyphens/>
              <w:autoSpaceDE w:val="0"/>
              <w:autoSpaceDN w:val="0"/>
              <w:ind w:left="0" w:firstLine="7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Методологічні виклики: забезпечення якості даних, розрізнення кореляції та причинно-наслідкового зв'язку.</w:t>
            </w:r>
          </w:p>
          <w:p w14:paraId="6CE2312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3C83F61D" w14:textId="77777777" w:rsidR="00F06A80" w:rsidRPr="002C0DA3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 w:eastAsia="zh-CN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DA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Тестові питання оцінюються: </w:t>
            </w:r>
          </w:p>
          <w:p w14:paraId="7799093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10.  </w:t>
            </w:r>
          </w:p>
          <w:p w14:paraId="4502E42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1AF8C64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54DA63A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592E1F2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596D6C4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55DF2B6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6D9182F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025AD29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714DCAF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5071277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20043C8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5D92CC4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35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0C153BF8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084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AC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ED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3. </w:t>
            </w:r>
          </w:p>
          <w:p w14:paraId="4A489DBB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1.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Ключові відмінності між HRIS (ІСУП), HCM (Системами УЛК) та ATS (Системами відстеження кандидатів).</w:t>
            </w:r>
          </w:p>
          <w:p w14:paraId="5ED7EC4B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2.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Ідентифік</w:t>
            </w:r>
            <w:r>
              <w:rPr>
                <w:rFonts w:eastAsia="Calibri"/>
                <w:sz w:val="20"/>
                <w:szCs w:val="20"/>
                <w:lang w:val="uk-UA"/>
              </w:rPr>
              <w:t>ація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HR-процес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ів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(окрім </w:t>
            </w:r>
            <w:proofErr w:type="spellStart"/>
            <w:r w:rsidRPr="00040808">
              <w:rPr>
                <w:rFonts w:eastAsia="Calibri"/>
                <w:sz w:val="20"/>
                <w:szCs w:val="20"/>
                <w:lang w:val="uk-UA"/>
              </w:rPr>
              <w:t>рекрутингу</w:t>
            </w:r>
            <w:proofErr w:type="spellEnd"/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та адаптації), що є пріоритетними для автоматизації за допомогою РАП (RPA), та обґрунтувати цей вибір.</w:t>
            </w:r>
          </w:p>
          <w:p w14:paraId="1C90DF87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3.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Основні етичні ризики (упередженість алгоритмів, конфіденційність) при використанні ШІ в </w:t>
            </w:r>
            <w:proofErr w:type="spellStart"/>
            <w:r w:rsidRPr="00040808">
              <w:rPr>
                <w:rFonts w:eastAsia="Calibri"/>
                <w:sz w:val="20"/>
                <w:szCs w:val="20"/>
                <w:lang w:val="uk-UA"/>
              </w:rPr>
              <w:t>рекрутингу</w:t>
            </w:r>
            <w:proofErr w:type="spellEnd"/>
            <w:r w:rsidRPr="00040808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  <w:p w14:paraId="7CDBEF31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4.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Ключов</w:t>
            </w:r>
            <w:r>
              <w:rPr>
                <w:rFonts w:eastAsia="Calibri"/>
                <w:sz w:val="20"/>
                <w:szCs w:val="20"/>
                <w:lang w:val="uk-UA"/>
              </w:rPr>
              <w:t>і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критерії для вибору HR-технологічної платформи.</w:t>
            </w:r>
          </w:p>
          <w:p w14:paraId="1C74310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30888CC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4C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5 балів: </w:t>
            </w:r>
          </w:p>
          <w:p w14:paraId="19FD54B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26A86F3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26C04C5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3A3C96C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BB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782FB574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B1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14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FB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3. </w:t>
            </w:r>
          </w:p>
          <w:p w14:paraId="50B28665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1.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Ключові відмінності між HRIS (ІСУП), HCM (Системами УЛК) та ATS (Системами відстеження кандидатів).</w:t>
            </w:r>
          </w:p>
          <w:p w14:paraId="6BDABC83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2.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Ідентифік</w:t>
            </w:r>
            <w:r>
              <w:rPr>
                <w:rFonts w:eastAsia="Calibri"/>
                <w:sz w:val="20"/>
                <w:szCs w:val="20"/>
                <w:lang w:val="uk-UA"/>
              </w:rPr>
              <w:t>ація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HR-процес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ів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(окрім </w:t>
            </w:r>
            <w:proofErr w:type="spellStart"/>
            <w:r w:rsidRPr="00040808">
              <w:rPr>
                <w:rFonts w:eastAsia="Calibri"/>
                <w:sz w:val="20"/>
                <w:szCs w:val="20"/>
                <w:lang w:val="uk-UA"/>
              </w:rPr>
              <w:t>рекрутингу</w:t>
            </w:r>
            <w:proofErr w:type="spellEnd"/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та адаптації), що є пріоритетними для автоматизації за допомогою РАП (RPA), та обґрунтувати цей вибір.</w:t>
            </w:r>
          </w:p>
          <w:p w14:paraId="417EE181" w14:textId="77777777" w:rsidR="00F06A80" w:rsidRPr="00040808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3.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Основні етичні ризики (упередженість алгоритмів, конфіденційність) при використанні ШІ в </w:t>
            </w:r>
            <w:proofErr w:type="spellStart"/>
            <w:r w:rsidRPr="00040808">
              <w:rPr>
                <w:rFonts w:eastAsia="Calibri"/>
                <w:sz w:val="20"/>
                <w:szCs w:val="20"/>
                <w:lang w:val="uk-UA"/>
              </w:rPr>
              <w:t>рекрутингу</w:t>
            </w:r>
            <w:proofErr w:type="spellEnd"/>
            <w:r w:rsidRPr="00040808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  <w:p w14:paraId="3B9DEBB4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4. 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>Ключов</w:t>
            </w:r>
            <w:r>
              <w:rPr>
                <w:rFonts w:eastAsia="Calibri"/>
                <w:sz w:val="20"/>
                <w:szCs w:val="20"/>
                <w:lang w:val="uk-UA"/>
              </w:rPr>
              <w:t>і</w:t>
            </w:r>
            <w:r w:rsidRPr="00040808">
              <w:rPr>
                <w:rFonts w:eastAsia="Calibri"/>
                <w:sz w:val="20"/>
                <w:szCs w:val="20"/>
                <w:lang w:val="uk-UA"/>
              </w:rPr>
              <w:t xml:space="preserve"> критерії для вибору HR-технологічної платформи.</w:t>
            </w:r>
          </w:p>
          <w:p w14:paraId="34682A1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1B22813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</w:t>
            </w:r>
            <w:r w:rsidRPr="003A4AC8">
              <w:rPr>
                <w:i/>
                <w:iCs/>
                <w:sz w:val="20"/>
                <w:szCs w:val="20"/>
                <w:lang w:val="uk-UA"/>
              </w:rPr>
              <w:lastRenderedPageBreak/>
              <w:t xml:space="preserve">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61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lastRenderedPageBreak/>
              <w:t xml:space="preserve">Практична робота оцінюється комплексно максимально у 5 балів: </w:t>
            </w:r>
          </w:p>
          <w:p w14:paraId="069728A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6FFF5AA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3-5 балів (зараховано). </w:t>
            </w:r>
          </w:p>
          <w:p w14:paraId="32454CD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27A10F4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07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18D9D7E3" w14:textId="77777777" w:rsidTr="008333BE">
        <w:trPr>
          <w:trHeight w:val="352"/>
        </w:trPr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3D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Змістовий модуль 4</w:t>
            </w:r>
          </w:p>
        </w:tc>
      </w:tr>
      <w:tr w:rsidR="00F06A80" w:rsidRPr="003A4AC8" w14:paraId="03005C0D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9F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18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159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за матеріалом лекції №8. </w:t>
            </w:r>
          </w:p>
          <w:p w14:paraId="094EB06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2AD32CA0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1.</w:t>
            </w:r>
            <w:r w:rsidRPr="002C0DA3">
              <w:rPr>
                <w:sz w:val="20"/>
                <w:szCs w:val="20"/>
                <w:lang w:val="uk-UA"/>
              </w:rPr>
              <w:tab/>
              <w:t xml:space="preserve">Діагностика та розвиток організаційної культури (моделі К. Камерона, Р.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Куїнна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; модель Е.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Шейна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).</w:t>
            </w:r>
          </w:p>
          <w:p w14:paraId="0263C69A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2.</w:t>
            </w:r>
            <w:r w:rsidRPr="002C0DA3">
              <w:rPr>
                <w:sz w:val="20"/>
                <w:szCs w:val="20"/>
                <w:lang w:val="uk-UA"/>
              </w:rPr>
              <w:tab/>
              <w:t xml:space="preserve">Концепція психологічної безпеки (за Е.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Едмондсон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 як фундамент для інновацій та ефективної командної роботи.</w:t>
            </w:r>
          </w:p>
          <w:p w14:paraId="48C6B891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3.</w:t>
            </w:r>
            <w:r w:rsidRPr="002C0DA3">
              <w:rPr>
                <w:sz w:val="20"/>
                <w:szCs w:val="20"/>
                <w:lang w:val="uk-UA"/>
              </w:rPr>
              <w:tab/>
              <w:t>Досвід співробітника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Employee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Experience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, EX): картування шляху співробітника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Employee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Journey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Map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 та "моменти, що мають значення".</w:t>
            </w:r>
          </w:p>
          <w:p w14:paraId="0AA37C7B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4.</w:t>
            </w:r>
            <w:r w:rsidRPr="002C0DA3">
              <w:rPr>
                <w:sz w:val="20"/>
                <w:szCs w:val="20"/>
                <w:lang w:val="uk-UA"/>
              </w:rPr>
              <w:tab/>
              <w:t>Комплексний підхід до добробуту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Wellbeing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): фізичне, психічне та фінансове здоров'я. Роль HR у профілактиці професійного вигорання.</w:t>
            </w:r>
          </w:p>
          <w:p w14:paraId="3CEB3115" w14:textId="77777777" w:rsidR="00F06A80" w:rsidRPr="003A4AC8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5.</w:t>
            </w:r>
            <w:r w:rsidRPr="002C0DA3">
              <w:rPr>
                <w:sz w:val="20"/>
                <w:szCs w:val="20"/>
                <w:lang w:val="uk-UA"/>
              </w:rPr>
              <w:tab/>
              <w:t xml:space="preserve">Стратегії Різноманітності, Рівності та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Інклюзивності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 (РРІ / DEI) та боротьба з несвідомими упередженнями.</w:t>
            </w:r>
          </w:p>
          <w:p w14:paraId="25C6C78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55E131CD" w14:textId="77777777" w:rsidR="00F06A80" w:rsidRPr="002C0DA3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24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Тестові питання оцінюються: </w:t>
            </w:r>
          </w:p>
          <w:p w14:paraId="30084C9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20.  </w:t>
            </w:r>
          </w:p>
          <w:p w14:paraId="496DFE5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1BC2204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015CF5C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664D665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425B5D3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4614BF5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24FDE9D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3C019B0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24A529E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6F45F60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69FD878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3E45E77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A4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3D2D932E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72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Лекція №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33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Тестування за змістовим модулем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6F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теоретичної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>, РН 11 за матеріалом лекції №</w:t>
            </w:r>
            <w:r>
              <w:rPr>
                <w:sz w:val="20"/>
                <w:szCs w:val="20"/>
                <w:lang w:val="uk-UA"/>
              </w:rPr>
              <w:t>9</w:t>
            </w:r>
            <w:r w:rsidRPr="003A4AC8">
              <w:rPr>
                <w:sz w:val="20"/>
                <w:szCs w:val="20"/>
                <w:lang w:val="uk-UA"/>
              </w:rPr>
              <w:t xml:space="preserve">. </w:t>
            </w:r>
          </w:p>
          <w:p w14:paraId="6646D91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Питання для підготовки: </w:t>
            </w:r>
          </w:p>
          <w:p w14:paraId="47030087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1.</w:t>
            </w:r>
            <w:r w:rsidRPr="002C0DA3">
              <w:rPr>
                <w:sz w:val="20"/>
                <w:szCs w:val="20"/>
                <w:lang w:val="uk-UA"/>
              </w:rPr>
              <w:tab/>
              <w:t>Управління в нових реаліях: гібридні та віддалені моделі роботи. Виклики управління ("упередження близькості", ризик "двох класів" співробітників).</w:t>
            </w:r>
          </w:p>
          <w:p w14:paraId="59380539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2.</w:t>
            </w:r>
            <w:r w:rsidRPr="002C0DA3">
              <w:rPr>
                <w:sz w:val="20"/>
                <w:szCs w:val="20"/>
                <w:lang w:val="uk-UA"/>
              </w:rPr>
              <w:tab/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Гіг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-економіка (економіка тимчасових проектів): управління "змішаною" робочою силою (штатні працівники та фрілансери).</w:t>
            </w:r>
          </w:p>
          <w:p w14:paraId="552D2ECD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3.</w:t>
            </w:r>
            <w:r w:rsidRPr="002C0DA3">
              <w:rPr>
                <w:sz w:val="20"/>
                <w:szCs w:val="20"/>
                <w:lang w:val="uk-UA"/>
              </w:rPr>
              <w:tab/>
              <w:t>Гнучкі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Agile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) організаційні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дизайни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 xml:space="preserve">: перехід від ієрархії до мережевих структур (напр., модель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Spotify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).</w:t>
            </w:r>
          </w:p>
          <w:p w14:paraId="4169592C" w14:textId="77777777" w:rsidR="00F06A80" w:rsidRPr="002C0DA3" w:rsidRDefault="00F06A80" w:rsidP="008333BE">
            <w:pPr>
              <w:widowControl w:val="0"/>
              <w:tabs>
                <w:tab w:val="left" w:pos="270"/>
              </w:tabs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4.</w:t>
            </w:r>
            <w:r w:rsidRPr="002C0DA3">
              <w:rPr>
                <w:sz w:val="20"/>
                <w:szCs w:val="20"/>
                <w:lang w:val="uk-UA"/>
              </w:rPr>
              <w:tab/>
              <w:t>Вплив ШІ на ринок праці: стратегії перенавчання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Reskilling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 та підвищення кваліфікації (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Upskilling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) робочої сили.</w:t>
            </w:r>
          </w:p>
          <w:p w14:paraId="018EB9A4" w14:textId="77777777" w:rsidR="00F06A80" w:rsidRDefault="00F06A80" w:rsidP="008333BE">
            <w:pPr>
              <w:widowControl w:val="0"/>
              <w:tabs>
                <w:tab w:val="left" w:pos="230"/>
              </w:tabs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2C0DA3">
              <w:rPr>
                <w:sz w:val="20"/>
                <w:szCs w:val="20"/>
                <w:lang w:val="uk-UA"/>
              </w:rPr>
              <w:t>5.</w:t>
            </w:r>
            <w:r w:rsidRPr="002C0DA3">
              <w:rPr>
                <w:sz w:val="20"/>
                <w:szCs w:val="20"/>
                <w:lang w:val="uk-UA"/>
              </w:rPr>
              <w:tab/>
              <w:t xml:space="preserve">HR як агент змін: застосування моделей управління змінами (напр., модель </w:t>
            </w:r>
            <w:proofErr w:type="spellStart"/>
            <w:r w:rsidRPr="002C0DA3">
              <w:rPr>
                <w:sz w:val="20"/>
                <w:szCs w:val="20"/>
                <w:lang w:val="uk-UA"/>
              </w:rPr>
              <w:t>Коттера</w:t>
            </w:r>
            <w:proofErr w:type="spellEnd"/>
            <w:r w:rsidRPr="002C0DA3">
              <w:rPr>
                <w:sz w:val="20"/>
                <w:szCs w:val="20"/>
                <w:lang w:val="uk-UA"/>
              </w:rPr>
              <w:t>, ADKAR) для впровадження HR-ініціатив.</w:t>
            </w:r>
          </w:p>
          <w:p w14:paraId="5B74751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1DBCA2CA" w14:textId="77777777" w:rsidR="00F06A80" w:rsidRPr="002C0DA3" w:rsidRDefault="00F06A80" w:rsidP="008333BE">
            <w:pPr>
              <w:widowControl w:val="0"/>
              <w:suppressAutoHyphens/>
              <w:autoSpaceDE w:val="0"/>
              <w:autoSpaceDN w:val="0"/>
              <w:rPr>
                <w:i/>
                <w:iCs/>
                <w:sz w:val="20"/>
                <w:szCs w:val="20"/>
                <w:lang w:val="uk-UA" w:eastAsia="zh-CN"/>
              </w:rPr>
            </w:pPr>
            <w:r w:rsidRPr="002C0DA3">
              <w:rPr>
                <w:i/>
                <w:iCs/>
                <w:sz w:val="20"/>
                <w:szCs w:val="20"/>
                <w:lang w:val="uk-UA"/>
              </w:rPr>
              <w:t xml:space="preserve">Перелік тестових питань для самопідготовки розміщено в профілі даної дисципліни у СЕЗН </w:t>
            </w:r>
            <w:r w:rsidRPr="002C0DA3">
              <w:rPr>
                <w:i/>
                <w:iCs/>
                <w:sz w:val="20"/>
                <w:szCs w:val="20"/>
                <w:lang w:val="uk-UA"/>
              </w:rPr>
              <w:lastRenderedPageBreak/>
              <w:t xml:space="preserve">ЗНУ </w:t>
            </w:r>
            <w:proofErr w:type="spellStart"/>
            <w:r w:rsidRPr="002C0DA3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2C0DA3">
              <w:rPr>
                <w:i/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D7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lastRenderedPageBreak/>
              <w:t xml:space="preserve">Тестові питання оцінюються: </w:t>
            </w:r>
          </w:p>
          <w:p w14:paraId="56E7413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правильно/неправильно. Кількість рівнозначних питань – 20.  </w:t>
            </w:r>
          </w:p>
          <w:p w14:paraId="00BE441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Застосовується шкала переведення кількості правильних відповідей у бали з діапазону 0-5: </w:t>
            </w:r>
          </w:p>
          <w:p w14:paraId="1E46B6B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незадовільний рівень:  </w:t>
            </w:r>
          </w:p>
          <w:p w14:paraId="19DB6EB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0-2 – 0 балів (не зараховано); </w:t>
            </w:r>
          </w:p>
          <w:p w14:paraId="1232E2E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− достатній рівень  </w:t>
            </w:r>
          </w:p>
          <w:p w14:paraId="453731D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(60% - 100% від максимального балу): </w:t>
            </w:r>
          </w:p>
          <w:p w14:paraId="717EC6B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3-10 – 3, 4, 5 балів (зараховано), а саме: </w:t>
            </w:r>
          </w:p>
          <w:p w14:paraId="279B8F2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3-5 – 3 бали; </w:t>
            </w:r>
          </w:p>
          <w:p w14:paraId="15D008D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6-8 – 4 бали; </w:t>
            </w:r>
          </w:p>
          <w:p w14:paraId="68EEE32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9-10 – 5 балів. </w:t>
            </w:r>
          </w:p>
          <w:p w14:paraId="2F8C8BC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</w:p>
          <w:p w14:paraId="3DDC52B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Тест розміщено в профілі даної </w:t>
            </w:r>
          </w:p>
          <w:p w14:paraId="485E6AD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/>
              </w:rPr>
              <w:t xml:space="preserve">дисципліни у СЕЗН ЗНУ </w:t>
            </w:r>
            <w:proofErr w:type="spellStart"/>
            <w:r w:rsidRPr="003A4AC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F3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10722D84" w14:textId="77777777" w:rsidTr="008333BE">
        <w:trPr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22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Практичне заняття №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56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left="34" w:hanging="34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Практична робота </w:t>
            </w:r>
            <w:r>
              <w:rPr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FE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/>
              </w:rPr>
              <w:t>Перевірка рівня практичної складової сформованих 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 за матеріалом змістового модулю 4. </w:t>
            </w:r>
          </w:p>
          <w:p w14:paraId="46C9FAD6" w14:textId="77777777" w:rsidR="00F06A80" w:rsidRPr="00716A0B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1. </w:t>
            </w:r>
            <w:r w:rsidRPr="00716A0B">
              <w:rPr>
                <w:rFonts w:eastAsia="Calibri"/>
                <w:sz w:val="20"/>
                <w:szCs w:val="20"/>
                <w:lang w:val="uk-UA"/>
              </w:rPr>
              <w:t>Основні моделі гібридної роботи, їхні переваги та недоліки.</w:t>
            </w:r>
          </w:p>
          <w:p w14:paraId="4DA8CD51" w14:textId="77777777" w:rsidR="00F06A80" w:rsidRPr="00716A0B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2. </w:t>
            </w:r>
            <w:r w:rsidRPr="00716A0B">
              <w:rPr>
                <w:rFonts w:eastAsia="Calibri"/>
                <w:sz w:val="20"/>
                <w:szCs w:val="20"/>
                <w:lang w:val="uk-UA"/>
              </w:rPr>
              <w:t>Сутність "упередження близькості" (</w:t>
            </w:r>
            <w:proofErr w:type="spellStart"/>
            <w:r w:rsidRPr="00716A0B">
              <w:rPr>
                <w:rFonts w:eastAsia="Calibri"/>
                <w:sz w:val="20"/>
                <w:szCs w:val="20"/>
                <w:lang w:val="uk-UA"/>
              </w:rPr>
              <w:t>proximity</w:t>
            </w:r>
            <w:proofErr w:type="spellEnd"/>
            <w:r w:rsidRPr="00716A0B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16A0B">
              <w:rPr>
                <w:rFonts w:eastAsia="Calibri"/>
                <w:sz w:val="20"/>
                <w:szCs w:val="20"/>
                <w:lang w:val="uk-UA"/>
              </w:rPr>
              <w:t>bias</w:t>
            </w:r>
            <w:proofErr w:type="spellEnd"/>
            <w:r w:rsidRPr="00716A0B">
              <w:rPr>
                <w:rFonts w:eastAsia="Calibri"/>
                <w:sz w:val="20"/>
                <w:szCs w:val="20"/>
                <w:lang w:val="uk-UA"/>
              </w:rPr>
              <w:t>) та його ризики для управління гібридними командами.</w:t>
            </w:r>
          </w:p>
          <w:p w14:paraId="5FD973A4" w14:textId="77777777" w:rsidR="00F06A80" w:rsidRPr="00716A0B" w:rsidRDefault="00F06A80" w:rsidP="008333BE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3. </w:t>
            </w:r>
            <w:r w:rsidRPr="00716A0B">
              <w:rPr>
                <w:rFonts w:eastAsia="Calibri"/>
                <w:sz w:val="20"/>
                <w:szCs w:val="20"/>
                <w:lang w:val="uk-UA"/>
              </w:rPr>
              <w:t>Підтримк</w:t>
            </w:r>
            <w:r>
              <w:rPr>
                <w:rFonts w:eastAsia="Calibri"/>
                <w:sz w:val="20"/>
                <w:szCs w:val="20"/>
                <w:lang w:val="uk-UA"/>
              </w:rPr>
              <w:t>а</w:t>
            </w:r>
            <w:r w:rsidRPr="00716A0B">
              <w:rPr>
                <w:rFonts w:eastAsia="Calibri"/>
                <w:sz w:val="20"/>
                <w:szCs w:val="20"/>
                <w:lang w:val="uk-UA"/>
              </w:rPr>
              <w:t xml:space="preserve"> психічного здоров'я та профілактики вигорання в гібридних моделях роботи.</w:t>
            </w:r>
          </w:p>
          <w:p w14:paraId="343644E7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4. </w:t>
            </w:r>
            <w:r w:rsidRPr="00716A0B">
              <w:rPr>
                <w:rFonts w:eastAsia="Calibri"/>
                <w:sz w:val="20"/>
                <w:szCs w:val="20"/>
                <w:lang w:val="uk-UA"/>
              </w:rPr>
              <w:t>Роль лінійного менеджера у забезпеченні ефективності гібридної політики та добробуту співробітників.</w:t>
            </w:r>
          </w:p>
          <w:p w14:paraId="20FE2218" w14:textId="77777777" w:rsidR="00F06A80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506EB3D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i/>
                <w:iCs/>
                <w:sz w:val="20"/>
                <w:szCs w:val="20"/>
                <w:lang w:val="uk-UA"/>
              </w:rPr>
              <w:t xml:space="preserve">Завдання, вимоги щодо виконання та оформлення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3A4AC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64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Практична робота оцінюється комплексно максимально у 10 балів: </w:t>
            </w:r>
          </w:p>
          <w:p w14:paraId="0CC53C3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незадовільний рівень – 0 балів (не зараховано); </w:t>
            </w:r>
          </w:p>
          <w:p w14:paraId="05A48F7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sz w:val="20"/>
                <w:szCs w:val="20"/>
                <w:lang w:val="uk-UA"/>
              </w:rPr>
              <w:t xml:space="preserve">− достатній рівень (60% - 100% від максимального балу) – 6-10 балів (зараховано). </w:t>
            </w:r>
          </w:p>
          <w:p w14:paraId="152138A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val="uk-UA"/>
              </w:rPr>
            </w:pPr>
          </w:p>
          <w:p w14:paraId="36881A4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rFonts w:eastAsia="Calibri"/>
                <w:i/>
                <w:iCs/>
                <w:sz w:val="20"/>
                <w:szCs w:val="20"/>
                <w:lang w:val="uk-UA"/>
              </w:rPr>
              <w:t>При формуванні шкали бальної оцінки стимулюється систематична робота здобувачів протягом семестру.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F3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</w:tr>
      <w:tr w:rsidR="00F06A80" w:rsidRPr="003A4AC8" w14:paraId="71519B1D" w14:textId="77777777" w:rsidTr="008333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D914" w14:textId="77777777" w:rsidR="00F06A80" w:rsidRPr="003A4AC8" w:rsidRDefault="00F06A80" w:rsidP="008333BE">
            <w:pPr>
              <w:suppressAutoHyphens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 xml:space="preserve">Усього поточний контроль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899E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277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E5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76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60</w:t>
            </w:r>
          </w:p>
        </w:tc>
      </w:tr>
      <w:tr w:rsidR="00F06A80" w:rsidRPr="003A4AC8" w14:paraId="5D89D78D" w14:textId="77777777" w:rsidTr="008333BE"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06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Підсумковий контроль</w:t>
            </w:r>
          </w:p>
        </w:tc>
      </w:tr>
      <w:tr w:rsidR="00F06A80" w:rsidRPr="003A4AC8" w14:paraId="3D0BA67D" w14:textId="77777777" w:rsidTr="008333BE">
        <w:trPr>
          <w:trHeight w:val="5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2547" w14:textId="77777777" w:rsidR="00F06A80" w:rsidRPr="003A4AC8" w:rsidRDefault="00F06A80" w:rsidP="008333BE">
            <w:pPr>
              <w:suppressAutoHyphens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Залік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BB3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firstLine="34"/>
              <w:rPr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Підсумковий тест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73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Перевірка рівня теоретичної складової сформованих програмних результатів навчання </w:t>
            </w:r>
            <w:r w:rsidRPr="003A4AC8">
              <w:rPr>
                <w:sz w:val="20"/>
                <w:szCs w:val="20"/>
                <w:lang w:val="uk-UA"/>
              </w:rPr>
              <w:t>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</w:t>
            </w:r>
            <w:r w:rsidRPr="003A4AC8">
              <w:rPr>
                <w:sz w:val="20"/>
                <w:szCs w:val="20"/>
                <w:lang w:val="uk-UA" w:eastAsia="zh-CN"/>
              </w:rPr>
              <w:t>здійснюється комплексно відповідно до змісту навчальної дисципліни (</w:t>
            </w:r>
            <w:proofErr w:type="spellStart"/>
            <w:r w:rsidRPr="003A4AC8">
              <w:rPr>
                <w:sz w:val="20"/>
                <w:szCs w:val="20"/>
                <w:lang w:val="uk-UA" w:eastAsia="zh-CN"/>
              </w:rPr>
              <w:t>розд</w:t>
            </w:r>
            <w:proofErr w:type="spellEnd"/>
            <w:r w:rsidRPr="003A4AC8">
              <w:rPr>
                <w:sz w:val="20"/>
                <w:szCs w:val="20"/>
                <w:lang w:val="uk-UA" w:eastAsia="zh-CN"/>
              </w:rPr>
              <w:t xml:space="preserve">. 3). Теоретичне завдання представлено у форматі комплексного тесту, до якого включено 50 рівнозначних тестових питань з тем усіх змістових модулів. Тестування передбачає відповідь на теоретичні питання (вірною є лише один з альтернативних варіантів відповідей). </w:t>
            </w:r>
          </w:p>
          <w:p w14:paraId="68B8C312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</w:p>
          <w:p w14:paraId="132089AB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Перелік тестових питань для самопідготовки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FD3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Тестові питання оцінюються: правильно/неправильно. 1 правильна відповідь оцінюється 0.4 бали. </w:t>
            </w:r>
          </w:p>
          <w:p w14:paraId="6C8D8F2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незадовільний рівень – 0 балів (не зараховано); </w:t>
            </w:r>
          </w:p>
          <w:p w14:paraId="0DBA0C1D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прийнятний рівень (35% - 59% від максимального балу) – 7-11 балів (зараховано умовно); </w:t>
            </w:r>
          </w:p>
          <w:p w14:paraId="356F5D86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− достатній рівень (60% - 100% від максимального балу) – 12-20 балів (зараховано).</w:t>
            </w:r>
          </w:p>
          <w:p w14:paraId="0C639ED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sz w:val="20"/>
                <w:szCs w:val="20"/>
                <w:lang w:val="uk-UA" w:eastAsia="zh-CN"/>
              </w:rPr>
            </w:pPr>
          </w:p>
          <w:p w14:paraId="64D28589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both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Тест розміщено 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BF4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F06A80" w:rsidRPr="003A4AC8" w14:paraId="01F06C64" w14:textId="77777777" w:rsidTr="008333BE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DCF6" w14:textId="77777777" w:rsidR="00F06A80" w:rsidRPr="003A4AC8" w:rsidRDefault="00F06A80" w:rsidP="008333B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6AC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ind w:firstLine="69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>Практичне завдання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B4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Перевірка рівня практичної складової сформованих програмних результатів навчання </w:t>
            </w:r>
            <w:r w:rsidRPr="003A4AC8">
              <w:rPr>
                <w:sz w:val="20"/>
                <w:szCs w:val="20"/>
                <w:lang w:val="uk-UA"/>
              </w:rPr>
              <w:t>РН 1, РН </w:t>
            </w:r>
            <w:r>
              <w:rPr>
                <w:sz w:val="20"/>
                <w:szCs w:val="20"/>
                <w:lang w:val="uk-UA"/>
              </w:rPr>
              <w:t>3</w:t>
            </w:r>
            <w:r w:rsidRPr="003A4AC8">
              <w:rPr>
                <w:sz w:val="20"/>
                <w:szCs w:val="20"/>
                <w:lang w:val="uk-UA"/>
              </w:rPr>
              <w:t xml:space="preserve">, РН </w:t>
            </w:r>
            <w:r>
              <w:rPr>
                <w:sz w:val="20"/>
                <w:szCs w:val="20"/>
                <w:lang w:val="uk-UA"/>
              </w:rPr>
              <w:t>5</w:t>
            </w:r>
            <w:r w:rsidRPr="003A4AC8">
              <w:rPr>
                <w:sz w:val="20"/>
                <w:szCs w:val="20"/>
                <w:lang w:val="uk-UA"/>
              </w:rPr>
              <w:t xml:space="preserve">, РН 11 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здійснюється комплексно </w:t>
            </w:r>
            <w:r w:rsidRPr="003A4AC8">
              <w:rPr>
                <w:sz w:val="20"/>
                <w:szCs w:val="20"/>
                <w:lang w:val="uk-UA" w:eastAsia="zh-CN"/>
              </w:rPr>
              <w:t>відповідно до змісту навчальної дисципліни (</w:t>
            </w:r>
            <w:proofErr w:type="spellStart"/>
            <w:r w:rsidRPr="003A4AC8">
              <w:rPr>
                <w:sz w:val="20"/>
                <w:szCs w:val="20"/>
                <w:lang w:val="uk-UA" w:eastAsia="zh-CN"/>
              </w:rPr>
              <w:t>розд</w:t>
            </w:r>
            <w:proofErr w:type="spellEnd"/>
            <w:r w:rsidRPr="003A4AC8">
              <w:rPr>
                <w:sz w:val="20"/>
                <w:szCs w:val="20"/>
                <w:lang w:val="uk-UA" w:eastAsia="zh-CN"/>
              </w:rPr>
              <w:t xml:space="preserve">. 3) 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та передбачає розв’язування ситуаційного завдання. </w:t>
            </w:r>
          </w:p>
          <w:p w14:paraId="3F6771D0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</w:p>
          <w:p w14:paraId="7E86074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A4AC8">
              <w:rPr>
                <w:rFonts w:eastAsia="Calibri"/>
                <w:i/>
                <w:iCs/>
                <w:color w:val="000000"/>
                <w:sz w:val="20"/>
                <w:szCs w:val="20"/>
                <w:lang w:val="uk-UA"/>
              </w:rPr>
              <w:t>Завдання розміщено</w:t>
            </w:r>
            <w:r w:rsidRPr="003A4AC8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 xml:space="preserve">в профілі даної дисципліни у СЕЗН ЗНУ </w:t>
            </w:r>
            <w:proofErr w:type="spellStart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Moodle</w:t>
            </w:r>
            <w:proofErr w:type="spellEnd"/>
            <w:r w:rsidRPr="003A4AC8">
              <w:rPr>
                <w:i/>
                <w:iCs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E3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Ситуаційна задач оцінюється максимально у 20 балів  з урахуванням логічності та повноти відповіді на запитання щодо змісту, правил, обґрунтованості висновків тощо: </w:t>
            </w:r>
          </w:p>
          <w:p w14:paraId="25D2D314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незадовільний рівень – 0 балів (не зараховано); </w:t>
            </w:r>
          </w:p>
          <w:p w14:paraId="23F8716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val="uk-UA" w:eastAsia="zh-CN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 xml:space="preserve">− прийнятний рівень (35% - 59% від максимального балу) – 7-11 балів (зараховано умовно); </w:t>
            </w:r>
          </w:p>
          <w:p w14:paraId="0D23F6D5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sz w:val="20"/>
                <w:szCs w:val="20"/>
                <w:lang w:val="uk-UA" w:eastAsia="zh-CN"/>
              </w:rPr>
              <w:t>− достатній рівень (60% - 100% від максимального балу) – 12-20 балів (зараховано).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FE8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F06A80" w:rsidRPr="003A4AC8" w14:paraId="52646F5B" w14:textId="77777777" w:rsidTr="008333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D6A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Усього</w:t>
            </w:r>
          </w:p>
          <w:p w14:paraId="278D2858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 xml:space="preserve">підсумковий </w:t>
            </w:r>
            <w:r w:rsidRPr="003A4AC8">
              <w:rPr>
                <w:b/>
                <w:sz w:val="20"/>
                <w:szCs w:val="20"/>
                <w:lang w:val="uk-UA" w:eastAsia="zh-CN"/>
              </w:rPr>
              <w:lastRenderedPageBreak/>
              <w:t>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73AF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3A4AC8"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7D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35C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B21" w14:textId="77777777" w:rsidR="00F06A80" w:rsidRPr="003A4AC8" w:rsidRDefault="00F06A80" w:rsidP="008333BE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0"/>
                <w:szCs w:val="20"/>
                <w:lang w:val="uk-UA" w:eastAsia="zh-CN"/>
              </w:rPr>
            </w:pPr>
            <w:r w:rsidRPr="003A4AC8">
              <w:rPr>
                <w:b/>
                <w:sz w:val="20"/>
                <w:szCs w:val="20"/>
                <w:lang w:val="uk-UA" w:eastAsia="zh-CN"/>
              </w:rPr>
              <w:t>40</w:t>
            </w:r>
          </w:p>
        </w:tc>
      </w:tr>
    </w:tbl>
    <w:p w14:paraId="7210E540" w14:textId="77777777" w:rsidR="00F06A80" w:rsidRPr="003A4AC8" w:rsidRDefault="00F06A80" w:rsidP="00F06A80">
      <w:pPr>
        <w:suppressAutoHyphens/>
        <w:jc w:val="both"/>
        <w:rPr>
          <w:rFonts w:ascii="Calibri" w:eastAsia="Calibri" w:hAnsi="Calibri"/>
          <w:sz w:val="20"/>
          <w:szCs w:val="20"/>
          <w:lang w:val="uk-UA"/>
        </w:rPr>
      </w:pPr>
    </w:p>
    <w:p w14:paraId="2FB800D4" w14:textId="77777777" w:rsidR="00AE2DDA" w:rsidRDefault="00AE2DDA"/>
    <w:sectPr w:rsidR="00AE2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67"/>
    <w:multiLevelType w:val="hybridMultilevel"/>
    <w:tmpl w:val="2EA84776"/>
    <w:lvl w:ilvl="0" w:tplc="A0C42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72E7F"/>
    <w:multiLevelType w:val="hybridMultilevel"/>
    <w:tmpl w:val="9D00BA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0497B"/>
    <w:multiLevelType w:val="hybridMultilevel"/>
    <w:tmpl w:val="7DDC0236"/>
    <w:lvl w:ilvl="0" w:tplc="1BFC09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4491">
    <w:abstractNumId w:val="1"/>
  </w:num>
  <w:num w:numId="2" w16cid:durableId="1916160593">
    <w:abstractNumId w:val="0"/>
  </w:num>
  <w:num w:numId="3" w16cid:durableId="185676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0"/>
    <w:rsid w:val="00382CF5"/>
    <w:rsid w:val="009D2C81"/>
    <w:rsid w:val="00AE2DDA"/>
    <w:rsid w:val="00E37B42"/>
    <w:rsid w:val="00F06A80"/>
    <w:rsid w:val="00F3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E4F0"/>
  <w15:chartTrackingRefBased/>
  <w15:docId w15:val="{646A54B4-81AC-4093-BCAB-85838793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3" w:semiHidden="1" w:unhideWhenUsed="1"/>
    <w:lsdException w:name="Hyperlink" w:semiHidden="1" w:uiPriority="99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A80"/>
    <w:pPr>
      <w:spacing w:line="240" w:lineRule="auto"/>
      <w:ind w:firstLine="0"/>
      <w:jc w:val="left"/>
    </w:pPr>
    <w:rPr>
      <w:rFonts w:eastAsia="MS Mincho"/>
      <w:color w:val="auto"/>
      <w:kern w:val="0"/>
      <w:sz w:val="24"/>
      <w:szCs w:val="24"/>
      <w:lang w:val="en-US"/>
      <w14:ligatures w14:val="none"/>
    </w:rPr>
  </w:style>
  <w:style w:type="paragraph" w:styleId="1">
    <w:name w:val="heading 1"/>
    <w:basedOn w:val="a0"/>
    <w:next w:val="a"/>
    <w:link w:val="10"/>
    <w:qFormat/>
    <w:rsid w:val="00E37B42"/>
    <w:pPr>
      <w:tabs>
        <w:tab w:val="left" w:pos="9072"/>
      </w:tabs>
      <w:spacing w:line="360" w:lineRule="auto"/>
      <w:jc w:val="center"/>
      <w:outlineLvl w:val="0"/>
    </w:pPr>
    <w:rPr>
      <w:szCs w:val="28"/>
    </w:rPr>
  </w:style>
  <w:style w:type="paragraph" w:styleId="2">
    <w:name w:val="heading 2"/>
    <w:basedOn w:val="a0"/>
    <w:next w:val="a"/>
    <w:link w:val="20"/>
    <w:qFormat/>
    <w:rsid w:val="00E37B42"/>
    <w:pPr>
      <w:spacing w:line="360" w:lineRule="auto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E37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E37B42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F06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6A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F06A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6A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F06A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">
    <w:name w:val="st"/>
    <w:basedOn w:val="a1"/>
    <w:rsid w:val="00E37B42"/>
  </w:style>
  <w:style w:type="character" w:customStyle="1" w:styleId="apple-style-span">
    <w:name w:val="apple-style-span"/>
    <w:basedOn w:val="a1"/>
    <w:rsid w:val="00E37B42"/>
  </w:style>
  <w:style w:type="character" w:customStyle="1" w:styleId="FontStyle71">
    <w:name w:val="Font Style71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109">
    <w:name w:val="Font Style109"/>
    <w:rsid w:val="00E37B42"/>
    <w:rPr>
      <w:rFonts w:ascii="Times New Roman" w:hAnsi="Times New Roman" w:cs="Times New Roman" w:hint="default"/>
      <w:sz w:val="26"/>
      <w:szCs w:val="26"/>
    </w:rPr>
  </w:style>
  <w:style w:type="character" w:customStyle="1" w:styleId="FontStyle83">
    <w:name w:val="Font Style83"/>
    <w:rsid w:val="00E37B4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E37B42"/>
    <w:rPr>
      <w:rFonts w:ascii="Times New Roman" w:hAnsi="Times New Roman" w:cs="Times New Roman"/>
      <w:sz w:val="28"/>
      <w:szCs w:val="28"/>
    </w:rPr>
  </w:style>
  <w:style w:type="numbering" w:customStyle="1" w:styleId="11">
    <w:name w:val="Немає списку1"/>
    <w:next w:val="a3"/>
    <w:uiPriority w:val="99"/>
    <w:semiHidden/>
    <w:unhideWhenUsed/>
    <w:rsid w:val="00E37B42"/>
  </w:style>
  <w:style w:type="character" w:customStyle="1" w:styleId="apple-converted-space">
    <w:name w:val="apple-converted-space"/>
    <w:basedOn w:val="a1"/>
    <w:rsid w:val="00E37B42"/>
  </w:style>
  <w:style w:type="paragraph" w:customStyle="1" w:styleId="12">
    <w:name w:val="Обычный1"/>
    <w:rsid w:val="00E37B42"/>
    <w:pPr>
      <w:snapToGrid w:val="0"/>
      <w:spacing w:line="240" w:lineRule="auto"/>
    </w:pPr>
    <w:rPr>
      <w:rFonts w:eastAsia="Times New Roman"/>
      <w:kern w:val="0"/>
      <w:szCs w:val="20"/>
      <w:lang w:eastAsia="ru-RU"/>
      <w14:ligatures w14:val="none"/>
    </w:rPr>
  </w:style>
  <w:style w:type="table" w:customStyle="1" w:styleId="13">
    <w:name w:val="Сітка таблиці1"/>
    <w:basedOn w:val="a2"/>
    <w:next w:val="a4"/>
    <w:uiPriority w:val="39"/>
    <w:rsid w:val="00E37B42"/>
    <w:pPr>
      <w:spacing w:line="240" w:lineRule="auto"/>
      <w:ind w:firstLine="709"/>
    </w:pPr>
    <w:rPr>
      <w:rFonts w:ascii="Calibri" w:eastAsia="Calibri" w:hAnsi="Calibri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rsid w:val="00E37B42"/>
    <w:pPr>
      <w:spacing w:line="240" w:lineRule="auto"/>
    </w:pPr>
    <w:rPr>
      <w:rFonts w:eastAsia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"/>
    <w:basedOn w:val="a"/>
    <w:uiPriority w:val="99"/>
    <w:rsid w:val="00E37B42"/>
    <w:pPr>
      <w:autoSpaceDE w:val="0"/>
      <w:autoSpaceDN w:val="0"/>
      <w:ind w:firstLine="709"/>
    </w:pPr>
    <w:rPr>
      <w:lang w:eastAsia="ru-RU"/>
    </w:rPr>
  </w:style>
  <w:style w:type="character" w:customStyle="1" w:styleId="10">
    <w:name w:val="Заголовок 1 Знак"/>
    <w:link w:val="1"/>
    <w:rsid w:val="00E37B4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0">
    <w:name w:val="No Spacing"/>
    <w:uiPriority w:val="1"/>
    <w:qFormat/>
    <w:rsid w:val="00E37B42"/>
    <w:pPr>
      <w:spacing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E37B4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E37B42"/>
    <w:rPr>
      <w:rFonts w:ascii="Arial" w:eastAsia="Times New Roman" w:hAnsi="Arial" w:cs="Arial"/>
      <w:b/>
      <w:bCs/>
      <w:kern w:val="0"/>
      <w:sz w:val="26"/>
      <w:szCs w:val="26"/>
      <w:lang w:val="ru-RU" w:eastAsia="ru-RU"/>
      <w14:ligatures w14:val="none"/>
    </w:rPr>
  </w:style>
  <w:style w:type="character" w:customStyle="1" w:styleId="40">
    <w:name w:val="Заголовок 4 Знак"/>
    <w:link w:val="4"/>
    <w:rsid w:val="00E37B42"/>
    <w:rPr>
      <w:rFonts w:ascii="Calibri" w:eastAsia="Times New Roman" w:hAnsi="Calibri" w:cs="Times New Roman"/>
      <w:b/>
      <w:bCs/>
      <w:kern w:val="0"/>
      <w:sz w:val="28"/>
      <w:szCs w:val="28"/>
      <w:lang w:eastAsia="uk-UA"/>
      <w14:ligatures w14:val="none"/>
    </w:rPr>
  </w:style>
  <w:style w:type="paragraph" w:styleId="15">
    <w:name w:val="toc 1"/>
    <w:basedOn w:val="a"/>
    <w:next w:val="a"/>
    <w:autoRedefine/>
    <w:uiPriority w:val="39"/>
    <w:rsid w:val="00E37B42"/>
  </w:style>
  <w:style w:type="paragraph" w:styleId="21">
    <w:name w:val="toc 2"/>
    <w:basedOn w:val="a"/>
    <w:next w:val="a"/>
    <w:autoRedefine/>
    <w:uiPriority w:val="39"/>
    <w:rsid w:val="00E37B42"/>
    <w:pPr>
      <w:tabs>
        <w:tab w:val="right" w:leader="dot" w:pos="9687"/>
      </w:tabs>
      <w:ind w:left="240" w:hanging="240"/>
    </w:pPr>
  </w:style>
  <w:style w:type="paragraph" w:styleId="31">
    <w:name w:val="toc 3"/>
    <w:basedOn w:val="a"/>
    <w:next w:val="a"/>
    <w:autoRedefine/>
    <w:semiHidden/>
    <w:rsid w:val="00E37B42"/>
    <w:pPr>
      <w:ind w:left="480"/>
    </w:pPr>
  </w:style>
  <w:style w:type="paragraph" w:styleId="a5">
    <w:name w:val="header"/>
    <w:basedOn w:val="a"/>
    <w:link w:val="a6"/>
    <w:uiPriority w:val="99"/>
    <w:rsid w:val="00E37B4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a7">
    <w:name w:val="footer"/>
    <w:basedOn w:val="a"/>
    <w:link w:val="a8"/>
    <w:uiPriority w:val="99"/>
    <w:rsid w:val="00E37B4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1"/>
    <w:link w:val="a7"/>
    <w:uiPriority w:val="99"/>
    <w:rsid w:val="00E37B42"/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character" w:styleId="a9">
    <w:name w:val="page number"/>
    <w:basedOn w:val="a1"/>
    <w:rsid w:val="00E37B42"/>
  </w:style>
  <w:style w:type="paragraph" w:styleId="aa">
    <w:name w:val="Title"/>
    <w:basedOn w:val="a"/>
    <w:link w:val="ab"/>
    <w:qFormat/>
    <w:rsid w:val="00E37B42"/>
    <w:pPr>
      <w:ind w:firstLine="709"/>
      <w:jc w:val="center"/>
    </w:pPr>
    <w:rPr>
      <w:b/>
      <w:bCs/>
      <w:lang w:val="x-none" w:eastAsia="x-none"/>
    </w:rPr>
  </w:style>
  <w:style w:type="character" w:customStyle="1" w:styleId="ab">
    <w:name w:val="Назва Знак"/>
    <w:link w:val="aa"/>
    <w:rsid w:val="00E37B42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  <w14:ligatures w14:val="none"/>
    </w:rPr>
  </w:style>
  <w:style w:type="paragraph" w:styleId="ac">
    <w:name w:val="Body Text"/>
    <w:basedOn w:val="a"/>
    <w:link w:val="ad"/>
    <w:rsid w:val="00E37B42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link w:val="ac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e">
    <w:name w:val="Body Text Indent"/>
    <w:basedOn w:val="a"/>
    <w:link w:val="af"/>
    <w:rsid w:val="00E37B42"/>
    <w:pPr>
      <w:widowControl w:val="0"/>
      <w:autoSpaceDE w:val="0"/>
      <w:autoSpaceDN w:val="0"/>
      <w:adjustRightInd w:val="0"/>
    </w:pPr>
    <w:rPr>
      <w:color w:val="000000"/>
      <w:szCs w:val="20"/>
    </w:rPr>
  </w:style>
  <w:style w:type="character" w:customStyle="1" w:styleId="af">
    <w:name w:val="Основний текст з відступом Знак"/>
    <w:basedOn w:val="a1"/>
    <w:link w:val="ae"/>
    <w:rsid w:val="00E37B42"/>
    <w:rPr>
      <w:rFonts w:ascii="Times New Roman" w:eastAsia="Times New Roman" w:hAnsi="Times New Roman" w:cs="Times New Roman"/>
      <w:color w:val="000000"/>
      <w:kern w:val="0"/>
      <w:sz w:val="28"/>
      <w:szCs w:val="20"/>
      <w:lang w:eastAsia="uk-UA"/>
      <w14:ligatures w14:val="none"/>
    </w:rPr>
  </w:style>
  <w:style w:type="paragraph" w:styleId="22">
    <w:name w:val="Body Text 2"/>
    <w:basedOn w:val="a"/>
    <w:link w:val="23"/>
    <w:rsid w:val="00E37B42"/>
    <w:pPr>
      <w:spacing w:after="120" w:line="480" w:lineRule="auto"/>
    </w:pPr>
    <w:rPr>
      <w:lang w:val="x-none" w:eastAsia="x-none"/>
    </w:rPr>
  </w:style>
  <w:style w:type="character" w:customStyle="1" w:styleId="23">
    <w:name w:val="Основний текст 2 Знак"/>
    <w:link w:val="22"/>
    <w:rsid w:val="00E37B42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32">
    <w:name w:val="Body Text Indent 3"/>
    <w:basedOn w:val="a"/>
    <w:link w:val="33"/>
    <w:rsid w:val="00E37B42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1"/>
    <w:link w:val="32"/>
    <w:rsid w:val="00E37B42"/>
    <w:rPr>
      <w:rFonts w:ascii="Times New Roman" w:eastAsia="Times New Roman" w:hAnsi="Times New Roman" w:cs="Times New Roman"/>
      <w:kern w:val="0"/>
      <w:sz w:val="16"/>
      <w:szCs w:val="16"/>
      <w:lang w:eastAsia="uk-UA"/>
      <w14:ligatures w14:val="none"/>
    </w:rPr>
  </w:style>
  <w:style w:type="character" w:styleId="af0">
    <w:name w:val="Hyperlink"/>
    <w:uiPriority w:val="99"/>
    <w:rsid w:val="00E37B42"/>
    <w:rPr>
      <w:color w:val="0000FF"/>
      <w:u w:val="single"/>
    </w:rPr>
  </w:style>
  <w:style w:type="character" w:styleId="af1">
    <w:name w:val="Emphasis"/>
    <w:uiPriority w:val="20"/>
    <w:qFormat/>
    <w:rsid w:val="00E37B42"/>
    <w:rPr>
      <w:i/>
      <w:iCs/>
    </w:rPr>
  </w:style>
  <w:style w:type="paragraph" w:styleId="af2">
    <w:name w:val="Normal (Web)"/>
    <w:aliases w:val="Обычный (веб) Знак"/>
    <w:basedOn w:val="a"/>
    <w:uiPriority w:val="99"/>
    <w:unhideWhenUsed/>
    <w:rsid w:val="00E37B42"/>
    <w:pPr>
      <w:spacing w:before="100" w:beforeAutospacing="1" w:after="100" w:afterAutospacing="1"/>
    </w:pPr>
    <w:rPr>
      <w:lang w:val="ru-RU" w:eastAsia="ru-RU"/>
    </w:rPr>
  </w:style>
  <w:style w:type="paragraph" w:styleId="af3">
    <w:name w:val="List Paragraph"/>
    <w:basedOn w:val="a"/>
    <w:uiPriority w:val="34"/>
    <w:qFormat/>
    <w:rsid w:val="00E37B42"/>
    <w:pPr>
      <w:ind w:left="720" w:firstLine="709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4">
    <w:name w:val="TOC Heading"/>
    <w:basedOn w:val="1"/>
    <w:next w:val="a"/>
    <w:uiPriority w:val="39"/>
    <w:unhideWhenUsed/>
    <w:qFormat/>
    <w:rsid w:val="00E37B42"/>
    <w:pPr>
      <w:keepLines/>
      <w:spacing w:before="240" w:line="259" w:lineRule="auto"/>
      <w:jc w:val="left"/>
      <w:outlineLvl w:val="9"/>
    </w:pPr>
    <w:rPr>
      <w:rFonts w:ascii="Calibri Light" w:hAnsi="Calibri Light"/>
      <w:caps/>
      <w:color w:val="2F5496"/>
      <w:sz w:val="32"/>
      <w:lang w:val="uk-UA" w:eastAsia="uk-UA"/>
    </w:rPr>
  </w:style>
  <w:style w:type="character" w:styleId="af5">
    <w:name w:val="Unresolved Mention"/>
    <w:basedOn w:val="a1"/>
    <w:uiPriority w:val="99"/>
    <w:semiHidden/>
    <w:unhideWhenUsed/>
    <w:rsid w:val="00E37B42"/>
    <w:rPr>
      <w:color w:val="605E5C"/>
      <w:shd w:val="clear" w:color="auto" w:fill="E1DFDD"/>
    </w:rPr>
  </w:style>
  <w:style w:type="character" w:customStyle="1" w:styleId="50">
    <w:name w:val="Заголовок 5 Знак"/>
    <w:basedOn w:val="a1"/>
    <w:link w:val="5"/>
    <w:semiHidden/>
    <w:rsid w:val="00F06A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F06A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semiHidden/>
    <w:rsid w:val="00F06A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semiHidden/>
    <w:rsid w:val="00F06A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semiHidden/>
    <w:rsid w:val="00F06A80"/>
    <w:rPr>
      <w:rFonts w:asciiTheme="minorHAnsi" w:eastAsiaTheme="majorEastAsia" w:hAnsiTheme="minorHAnsi" w:cstheme="majorBidi"/>
      <w:color w:val="272727" w:themeColor="text1" w:themeTint="D8"/>
    </w:rPr>
  </w:style>
  <w:style w:type="paragraph" w:styleId="af6">
    <w:name w:val="Subtitle"/>
    <w:basedOn w:val="a"/>
    <w:next w:val="a"/>
    <w:link w:val="af7"/>
    <w:qFormat/>
    <w:rsid w:val="00F06A80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f7">
    <w:name w:val="Підзаголовок Знак"/>
    <w:basedOn w:val="a1"/>
    <w:link w:val="af6"/>
    <w:rsid w:val="00F06A8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f8">
    <w:name w:val="Quote"/>
    <w:basedOn w:val="a"/>
    <w:next w:val="a"/>
    <w:link w:val="af9"/>
    <w:uiPriority w:val="29"/>
    <w:qFormat/>
    <w:rsid w:val="00F06A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Цитата Знак"/>
    <w:basedOn w:val="a1"/>
    <w:link w:val="af8"/>
    <w:uiPriority w:val="29"/>
    <w:rsid w:val="00F06A80"/>
    <w:rPr>
      <w:i/>
      <w:iCs/>
      <w:color w:val="404040" w:themeColor="text1" w:themeTint="BF"/>
    </w:rPr>
  </w:style>
  <w:style w:type="character" w:styleId="afa">
    <w:name w:val="Intense Emphasis"/>
    <w:basedOn w:val="a1"/>
    <w:uiPriority w:val="21"/>
    <w:qFormat/>
    <w:rsid w:val="00F06A80"/>
    <w:rPr>
      <w:i/>
      <w:iCs/>
      <w:color w:val="2F5496" w:themeColor="accent1" w:themeShade="BF"/>
    </w:rPr>
  </w:style>
  <w:style w:type="paragraph" w:styleId="afb">
    <w:name w:val="Intense Quote"/>
    <w:basedOn w:val="a"/>
    <w:next w:val="a"/>
    <w:link w:val="afc"/>
    <w:uiPriority w:val="30"/>
    <w:qFormat/>
    <w:rsid w:val="00F06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c">
    <w:name w:val="Насичена цитата Знак"/>
    <w:basedOn w:val="a1"/>
    <w:link w:val="afb"/>
    <w:uiPriority w:val="30"/>
    <w:rsid w:val="00F06A80"/>
    <w:rPr>
      <w:i/>
      <w:iCs/>
      <w:color w:val="2F5496" w:themeColor="accent1" w:themeShade="BF"/>
    </w:rPr>
  </w:style>
  <w:style w:type="character" w:styleId="afd">
    <w:name w:val="Intense Reference"/>
    <w:basedOn w:val="a1"/>
    <w:uiPriority w:val="32"/>
    <w:qFormat/>
    <w:rsid w:val="00F06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11315</Words>
  <Characters>6450</Characters>
  <Application>Microsoft Office Word</Application>
  <DocSecurity>0</DocSecurity>
  <Lines>53</Lines>
  <Paragraphs>35</Paragraphs>
  <ScaleCrop>false</ScaleCrop>
  <Company/>
  <LinksUpToDate>false</LinksUpToDate>
  <CharactersWithSpaces>17730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Oleynick</dc:creator>
  <cp:keywords/>
  <dc:description/>
  <cp:lastModifiedBy>Alex Oleynick</cp:lastModifiedBy>
  <cp:revision>1</cp:revision>
  <dcterms:created xsi:type="dcterms:W3CDTF">2025-10-31T10:20:00Z</dcterms:created>
  <dcterms:modified xsi:type="dcterms:W3CDTF">2025-10-31T10:20:00Z</dcterms:modified>
</cp:coreProperties>
</file>