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F0" w:rsidRPr="005C37F0" w:rsidRDefault="005C37F0" w:rsidP="005C37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МЕДІАПРАВО</w:t>
      </w:r>
    </w:p>
    <w:p w:rsidR="005C37F0" w:rsidRPr="005C37F0" w:rsidRDefault="005C37F0" w:rsidP="005C37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5C37F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д.соц.ком</w:t>
      </w:r>
      <w:proofErr w:type="spellEnd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., доцент Ковпак Вікторія Анатоліївна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Кафедра:</w:t>
      </w:r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теорії комунікації, реклами і </w:t>
      </w:r>
      <w:proofErr w:type="spellStart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зв’язків</w:t>
      </w:r>
      <w:proofErr w:type="spellEnd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із громадськістю, 2 </w:t>
      </w:r>
      <w:proofErr w:type="spellStart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навч</w:t>
      </w:r>
      <w:proofErr w:type="spellEnd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 корпус, 218 </w:t>
      </w:r>
      <w:proofErr w:type="spellStart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ауд</w:t>
      </w:r>
      <w:proofErr w:type="spellEnd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5C37F0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Kovpak.viki@ukr.net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Телефон: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тел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</w:t>
      </w:r>
      <w:r w:rsidRPr="005C37F0">
        <w:rPr>
          <w:rFonts w:ascii="Calibri" w:eastAsia="Calibri" w:hAnsi="Calibri" w:cs="Times New Roman"/>
          <w:lang w:val="uk-UA"/>
        </w:rPr>
        <w:t xml:space="preserve"> </w:t>
      </w:r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289-12-17 (кафедра), 289-41-12 (деканат)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Інші засоби зв’язку: </w:t>
      </w:r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zoom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Facebook Messenger</w:t>
      </w:r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Pr="005C37F0">
        <w:rPr>
          <w:rFonts w:ascii="Times New Roman" w:eastAsia="MS Mincho" w:hAnsi="Times New Roman" w:cs="Times New Roman"/>
          <w:sz w:val="24"/>
          <w:szCs w:val="24"/>
          <w:lang w:val="uk-UA"/>
        </w:rPr>
        <w:t>https://www.facebook.com/kovpak.viki/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5C37F0" w:rsidRPr="005C37F0" w:rsidTr="005C37F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Реклама та зв’язки з громадськістю; </w:t>
            </w:r>
            <w:proofErr w:type="spellStart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Редакторсько</w:t>
            </w:r>
            <w:proofErr w:type="spellEnd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-видавнича діяльність і </w:t>
            </w:r>
            <w:proofErr w:type="spellStart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медіамоделювання</w:t>
            </w:r>
            <w:proofErr w:type="spellEnd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Бакалавр</w:t>
            </w:r>
          </w:p>
        </w:tc>
      </w:tr>
      <w:tr w:rsidR="005C37F0" w:rsidRPr="005C37F0" w:rsidTr="005C37F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5C37F0" w:rsidRPr="005C37F0" w:rsidTr="005C37F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C37F0" w:rsidRPr="005C37F0" w:rsidTr="005C37F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5C37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5C37F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32</w:t>
            </w:r>
          </w:p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="00C5142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48</w:t>
            </w:r>
          </w:p>
          <w:p w:rsidR="005C37F0" w:rsidRPr="005C37F0" w:rsidRDefault="005C37F0" w:rsidP="00C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14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5C37F0" w:rsidRPr="005C37F0" w:rsidTr="005C37F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C51420" w:rsidRDefault="00C5142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1420">
              <w:rPr>
                <w:rFonts w:ascii="Times New Roman" w:eastAsia="Calibri" w:hAnsi="Times New Roman" w:cs="Times New Roman"/>
              </w:rPr>
              <w:t>https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://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moodle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znu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edu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ua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/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course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/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view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php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?</w:t>
            </w:r>
            <w:proofErr w:type="spellStart"/>
            <w:r w:rsidRPr="00C51420">
              <w:rPr>
                <w:rFonts w:ascii="Times New Roman" w:eastAsia="Calibri" w:hAnsi="Times New Roman" w:cs="Times New Roman"/>
              </w:rPr>
              <w:t>id</w:t>
            </w:r>
            <w:proofErr w:type="spellEnd"/>
            <w:r w:rsidRPr="00C51420">
              <w:rPr>
                <w:rFonts w:ascii="Times New Roman" w:eastAsia="Calibri" w:hAnsi="Times New Roman" w:cs="Times New Roman"/>
                <w:lang w:val="uk-UA"/>
              </w:rPr>
              <w:t>=12476</w:t>
            </w:r>
          </w:p>
        </w:tc>
      </w:tr>
      <w:tr w:rsidR="005C37F0" w:rsidRPr="005C37F0" w:rsidTr="005C37F0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5C37F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щовівторка, 11.00 до 13.00, ІІ корпус, </w:t>
            </w:r>
            <w:proofErr w:type="spellStart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219., за попередньою домовленістю, </w:t>
            </w:r>
            <w:proofErr w:type="spellStart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C37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Дисципліна «</w:t>
      </w:r>
      <w:proofErr w:type="spellStart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Медіаправо</w:t>
      </w:r>
      <w:proofErr w:type="spellEnd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» допоможе студенту здобути усі необхідні знання у сфері інформаційного законодавства України й міжнародного інформаційного права. Студенти матимуть змогу осягнути процедуру порядку доступу до інформації, орієнтуватися у правових, економічних, організаційних засадах державної підтримки ЗМІ й соціального захисту журналістів, розумітися на законодавчих нормах діяльності працівника ЗМІ в умовах виборчого процесу, осягнути правові механізми ліцензування телерадіомовлення, проводити журналістські розслідування у правовому полі.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виконання групових завдань, інтерактивні ігри, аналітичні зрізи </w:t>
      </w:r>
      <w:proofErr w:type="spellStart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відеосюжетів</w:t>
      </w:r>
      <w:proofErr w:type="spellEnd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у яких </w:t>
      </w:r>
      <w:proofErr w:type="spellStart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порушуютьсязаконодавчі</w:t>
      </w:r>
      <w:proofErr w:type="spellEnd"/>
      <w:r w:rsidRPr="005C37F0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норми, змагання команд у процесі вирішення проблемної ситуації правового характеру. Уся ця методика формує основи корпоративної солідарності журналістів, привчає їх до специфіки (стресової, ризикованої, творчої) журналістської діяльності, виявляє творчий і лідерський потенціал кожного студента.</w:t>
      </w:r>
      <w:r w:rsidRPr="005C37F0">
        <w:rPr>
          <w:rFonts w:ascii="Times New Roman" w:eastAsia="MS Mincho" w:hAnsi="Times New Roman" w:cs="Times New Roman"/>
          <w:b/>
          <w:sz w:val="28"/>
          <w:szCs w:val="24"/>
          <w:lang w:val="uk-UA"/>
        </w:rPr>
        <w:br w:type="page"/>
      </w:r>
      <w:r w:rsidRPr="005C37F0">
        <w:rPr>
          <w:rFonts w:ascii="Times New Roman" w:eastAsia="MS Mincho" w:hAnsi="Times New Roman" w:cs="Times New Roman"/>
          <w:b/>
          <w:sz w:val="28"/>
          <w:szCs w:val="24"/>
          <w:lang w:val="uk-UA"/>
        </w:rPr>
        <w:lastRenderedPageBreak/>
        <w:t>ОЧІКУВАНІ РЕЗУЛЬТАТИ НАВЧАННЯ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5C37F0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5C37F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5C37F0" w:rsidRPr="005C37F0" w:rsidRDefault="005C37F0" w:rsidP="005C37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С</w:t>
      </w:r>
      <w:proofErr w:type="spellStart"/>
      <w:r w:rsidRPr="005C37F0">
        <w:rPr>
          <w:rFonts w:ascii="Times" w:eastAsia="MS Mincho" w:hAnsi="Times" w:cs="Times New Roman"/>
          <w:i/>
          <w:sz w:val="24"/>
          <w:szCs w:val="24"/>
        </w:rPr>
        <w:t>творювати</w:t>
      </w:r>
      <w:proofErr w:type="spellEnd"/>
      <w:r w:rsidRPr="005C37F0">
        <w:rPr>
          <w:rFonts w:ascii="Times" w:eastAsia="MS Mincho" w:hAnsi="Times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" w:eastAsia="MS Mincho" w:hAnsi="Times" w:cs="Times New Roman"/>
          <w:i/>
          <w:sz w:val="24"/>
          <w:szCs w:val="24"/>
        </w:rPr>
        <w:t>програмну</w:t>
      </w:r>
      <w:proofErr w:type="spellEnd"/>
      <w:r w:rsidRPr="005C37F0">
        <w:rPr>
          <w:rFonts w:ascii="Times" w:eastAsia="MS Mincho" w:hAnsi="Times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" w:eastAsia="MS Mincho" w:hAnsi="Times" w:cs="Times New Roman"/>
          <w:i/>
          <w:sz w:val="24"/>
          <w:szCs w:val="24"/>
        </w:rPr>
        <w:t>концепцію</w:t>
      </w:r>
      <w:proofErr w:type="spellEnd"/>
      <w:r w:rsidRPr="005C37F0">
        <w:rPr>
          <w:rFonts w:ascii="Times" w:eastAsia="MS Mincho" w:hAnsi="Times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" w:eastAsia="MS Mincho" w:hAnsi="Times" w:cs="Times New Roman"/>
          <w:i/>
          <w:sz w:val="24"/>
          <w:szCs w:val="24"/>
        </w:rPr>
        <w:t>телерадіомовної</w:t>
      </w:r>
      <w:proofErr w:type="spellEnd"/>
      <w:r w:rsidRPr="005C37F0">
        <w:rPr>
          <w:rFonts w:ascii="Times" w:eastAsia="MS Mincho" w:hAnsi="Times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" w:eastAsia="MS Mincho" w:hAnsi="Times" w:cs="Times New Roman"/>
          <w:i/>
          <w:sz w:val="24"/>
          <w:szCs w:val="24"/>
        </w:rPr>
        <w:t>організації</w:t>
      </w:r>
      <w:proofErr w:type="spellEnd"/>
      <w:r w:rsidRPr="005C37F0">
        <w:rPr>
          <w:rFonts w:ascii="Times" w:eastAsia="MS Mincho" w:hAnsi="Times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" w:eastAsia="MS Mincho" w:hAnsi="Times" w:cs="Times New Roman"/>
          <w:i/>
          <w:sz w:val="24"/>
          <w:szCs w:val="24"/>
        </w:rPr>
        <w:t>відповідно</w:t>
      </w:r>
      <w:proofErr w:type="spellEnd"/>
      <w:r w:rsidRPr="005C37F0">
        <w:rPr>
          <w:rFonts w:ascii="Times" w:eastAsia="MS Mincho" w:hAnsi="Times" w:cs="Times New Roman"/>
          <w:i/>
          <w:sz w:val="24"/>
          <w:szCs w:val="24"/>
        </w:rPr>
        <w:t xml:space="preserve"> до чинного </w:t>
      </w:r>
      <w:proofErr w:type="spellStart"/>
      <w:r w:rsidRPr="005C37F0">
        <w:rPr>
          <w:rFonts w:ascii="Times" w:eastAsia="MS Mincho" w:hAnsi="Times" w:cs="Times New Roman"/>
          <w:i/>
          <w:sz w:val="24"/>
          <w:szCs w:val="24"/>
        </w:rPr>
        <w:t>законодавства</w:t>
      </w:r>
      <w:proofErr w:type="spellEnd"/>
    </w:p>
    <w:p w:rsidR="005C37F0" w:rsidRPr="005C37F0" w:rsidRDefault="005C37F0" w:rsidP="005C37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Працювати з джерелом інформації, дотримуючись законодавчих норм.</w:t>
      </w:r>
    </w:p>
    <w:p w:rsidR="005C37F0" w:rsidRPr="005C37F0" w:rsidRDefault="005C37F0" w:rsidP="005C37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Визначати якість журналістського матеріалу з позицій світових стандартів </w:t>
      </w:r>
      <w:proofErr w:type="spellStart"/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медіадіяльності</w:t>
      </w:r>
      <w:proofErr w:type="spellEnd"/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.</w:t>
      </w:r>
    </w:p>
    <w:p w:rsidR="005C37F0" w:rsidRPr="005C37F0" w:rsidRDefault="005C37F0" w:rsidP="005C37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Працювати в екстремальних умовах у зонах конфлікту.</w:t>
      </w:r>
    </w:p>
    <w:p w:rsidR="005C37F0" w:rsidRPr="005C37F0" w:rsidRDefault="005C37F0" w:rsidP="005C37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Збирати фактичну базу для майбутнього матеріалу на гостру соціальну проблематику з дотриманням законодавчих норм.</w:t>
      </w:r>
    </w:p>
    <w:p w:rsidR="005C37F0" w:rsidRPr="005C37F0" w:rsidRDefault="005C37F0" w:rsidP="005C3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Оформлювати </w:t>
      </w:r>
      <w:proofErr w:type="spellStart"/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медіаматеріал</w:t>
      </w:r>
      <w:proofErr w:type="spellEnd"/>
      <w:r w:rsidRPr="005C37F0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для подальшої публікації у ЗМІ.</w:t>
      </w:r>
    </w:p>
    <w:p w:rsidR="005C37F0" w:rsidRPr="005C37F0" w:rsidRDefault="005C37F0" w:rsidP="005C37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5C37F0" w:rsidRPr="005C37F0" w:rsidRDefault="005C37F0" w:rsidP="005C37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C37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Бондаренко І. С. Правові основи масової комунікації : навчально-методичний посібник для студентів факультету журналістики. Запоріжжя : ЗНУ, 2011. 70 с.</w:t>
      </w:r>
    </w:p>
    <w:p w:rsidR="005C37F0" w:rsidRPr="005C37F0" w:rsidRDefault="005C37F0" w:rsidP="005C37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C37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Бондаренко І. С. Інформаційна політика та безпека : методичні рекомендації для здобувачів ступеня вищої освіти бакалавра спеціальності “Інформаційна, бібліотечна та архівна справа” освітньо-професійної програми “Інформаційна діяльність у бізнесі, політиці та державному управлінні”. Запоріжжя : ЗНУ, 2020. 95 с.</w:t>
      </w:r>
    </w:p>
    <w:p w:rsidR="005C37F0" w:rsidRPr="00C51420" w:rsidRDefault="005C37F0" w:rsidP="005C3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C37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</w:t>
      </w:r>
      <w:proofErr w:type="spellStart"/>
      <w:r w:rsidRPr="005C37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5C37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5C37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5C37F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C51420" w:rsidRPr="00C51420">
        <w:rPr>
          <w:rFonts w:ascii="Calibri" w:eastAsia="Calibri" w:hAnsi="Calibri" w:cs="Times New Roman"/>
        </w:rPr>
        <w:t>https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://</w:t>
      </w:r>
      <w:proofErr w:type="spellStart"/>
      <w:r w:rsidR="00C51420" w:rsidRPr="00C51420">
        <w:rPr>
          <w:rFonts w:ascii="Calibri" w:eastAsia="Calibri" w:hAnsi="Calibri" w:cs="Times New Roman"/>
        </w:rPr>
        <w:t>moodle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.</w:t>
      </w:r>
      <w:proofErr w:type="spellStart"/>
      <w:r w:rsidR="00C51420" w:rsidRPr="00C51420">
        <w:rPr>
          <w:rFonts w:ascii="Calibri" w:eastAsia="Calibri" w:hAnsi="Calibri" w:cs="Times New Roman"/>
        </w:rPr>
        <w:t>znu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.</w:t>
      </w:r>
      <w:proofErr w:type="spellStart"/>
      <w:r w:rsidR="00C51420" w:rsidRPr="00C51420">
        <w:rPr>
          <w:rFonts w:ascii="Calibri" w:eastAsia="Calibri" w:hAnsi="Calibri" w:cs="Times New Roman"/>
        </w:rPr>
        <w:t>edu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.</w:t>
      </w:r>
      <w:proofErr w:type="spellStart"/>
      <w:r w:rsidR="00C51420" w:rsidRPr="00C51420">
        <w:rPr>
          <w:rFonts w:ascii="Calibri" w:eastAsia="Calibri" w:hAnsi="Calibri" w:cs="Times New Roman"/>
        </w:rPr>
        <w:t>ua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/</w:t>
      </w:r>
      <w:proofErr w:type="spellStart"/>
      <w:r w:rsidR="00C51420" w:rsidRPr="00C51420">
        <w:rPr>
          <w:rFonts w:ascii="Calibri" w:eastAsia="Calibri" w:hAnsi="Calibri" w:cs="Times New Roman"/>
        </w:rPr>
        <w:t>course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/</w:t>
      </w:r>
      <w:proofErr w:type="spellStart"/>
      <w:r w:rsidR="00C51420" w:rsidRPr="00C51420">
        <w:rPr>
          <w:rFonts w:ascii="Calibri" w:eastAsia="Calibri" w:hAnsi="Calibri" w:cs="Times New Roman"/>
        </w:rPr>
        <w:t>view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.</w:t>
      </w:r>
      <w:proofErr w:type="spellStart"/>
      <w:r w:rsidR="00C51420" w:rsidRPr="00C51420">
        <w:rPr>
          <w:rFonts w:ascii="Calibri" w:eastAsia="Calibri" w:hAnsi="Calibri" w:cs="Times New Roman"/>
        </w:rPr>
        <w:t>php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?</w:t>
      </w:r>
      <w:proofErr w:type="spellStart"/>
      <w:r w:rsidR="00C51420" w:rsidRPr="00C51420">
        <w:rPr>
          <w:rFonts w:ascii="Calibri" w:eastAsia="Calibri" w:hAnsi="Calibri" w:cs="Times New Roman"/>
        </w:rPr>
        <w:t>id</w:t>
      </w:r>
      <w:proofErr w:type="spellEnd"/>
      <w:r w:rsidR="00C51420" w:rsidRPr="00C51420">
        <w:rPr>
          <w:rFonts w:ascii="Calibri" w:eastAsia="Calibri" w:hAnsi="Calibri" w:cs="Times New Roman"/>
          <w:lang w:val="uk-UA"/>
        </w:rPr>
        <w:t>=12476</w:t>
      </w:r>
    </w:p>
    <w:p w:rsidR="005C37F0" w:rsidRPr="005C37F0" w:rsidRDefault="005C37F0" w:rsidP="005C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5C37F0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5C37F0" w:rsidRPr="005C37F0" w:rsidRDefault="005C37F0" w:rsidP="005C37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складних професійних ситуацій з позицій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медіаправа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C37F0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5C37F0" w:rsidRPr="005C37F0" w:rsidRDefault="005C37F0" w:rsidP="005C37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моделюванням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професійно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коректної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виробничої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поведінки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або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розв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</w:rPr>
        <w:t>’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язанням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проблемної ситуації (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 бали).</w:t>
      </w:r>
    </w:p>
    <w:p w:rsidR="005C37F0" w:rsidRPr="005C37F0" w:rsidRDefault="005C37F0" w:rsidP="005C37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Тестування (</w:t>
      </w:r>
      <w:proofErr w:type="spellStart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5C37F0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5C37F0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C51420" w:rsidRDefault="005C37F0" w:rsidP="005C37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C51420" w:rsidRPr="00C51420" w:rsidRDefault="008735BD" w:rsidP="005C37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4C2440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Підсумкове практичне завдання (фінальний </w:t>
      </w:r>
      <w:proofErr w:type="spellStart"/>
      <w:r w:rsidRPr="004C2440">
        <w:rPr>
          <w:rFonts w:ascii="Times New Roman" w:eastAsia="MS Mincho" w:hAnsi="Times New Roman"/>
          <w:b/>
          <w:i/>
          <w:sz w:val="24"/>
          <w:szCs w:val="24"/>
          <w:lang w:val="uk-UA"/>
        </w:rPr>
        <w:t>проєкт</w:t>
      </w:r>
      <w:proofErr w:type="spellEnd"/>
      <w:r w:rsidRPr="004C2440">
        <w:rPr>
          <w:rFonts w:ascii="Times New Roman" w:eastAsia="MS Mincho" w:hAnsi="Times New Roman"/>
          <w:b/>
          <w:i/>
          <w:sz w:val="24"/>
          <w:szCs w:val="24"/>
          <w:lang w:val="uk-UA"/>
        </w:rPr>
        <w:t>)</w:t>
      </w:r>
      <w:r w:rsidRPr="004C2440">
        <w:rPr>
          <w:rFonts w:ascii="Times New Roman" w:eastAsia="MS Mincho" w:hAnsi="Times New Roman"/>
          <w:sz w:val="24"/>
          <w:szCs w:val="24"/>
          <w:lang w:val="uk-UA"/>
        </w:rPr>
        <w:t xml:space="preserve"> –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</w:t>
      </w:r>
      <w:r w:rsidR="00C51420" w:rsidRPr="00C514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ередбачає проходження онлайн-курсу «Доступ до публічної інформації: від А до Я» на платформі </w:t>
      </w:r>
      <w:proofErr w:type="spellStart"/>
      <w:r w:rsidR="00C51420" w:rsidRPr="00C514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Прометеус</w:t>
      </w:r>
      <w:proofErr w:type="spellEnd"/>
      <w:r w:rsidR="00C51420" w:rsidRPr="00C5142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: https://courses.prometheus.org.ua/courses/course-v1:COE+PI101+2017_T1/about. Або «Доступ до публічної інформації для розпорядників» https://courses.prometheus.org.ua/courses/course-v1:COE+PIM101+2017_T3/course/ (опрацювання теоретичного матеріалу, виконання практичних та тестових завдань )</w:t>
      </w:r>
    </w:p>
    <w:p w:rsidR="008735BD" w:rsidRPr="008735BD" w:rsidRDefault="008735BD" w:rsidP="008735B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8735B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8735B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8735BD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8735B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курс на платформі </w:t>
      </w:r>
      <w:proofErr w:type="spellStart"/>
      <w:r w:rsidRPr="008735B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Prometheus</w:t>
      </w:r>
      <w:proofErr w:type="spellEnd"/>
      <w:r w:rsidRPr="008735B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передбачає проходження всього курсу із виконанням поточних тестів та одного підсумкового (де максимум 100 % може дорівнювати 30).</w:t>
      </w:r>
    </w:p>
    <w:p w:rsidR="005C37F0" w:rsidRPr="008735BD" w:rsidRDefault="008735BD" w:rsidP="008735B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8735B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Пояснення щодо виконання – див. на платформі (елемент неформальної освіти).</w:t>
      </w:r>
    </w:p>
    <w:tbl>
      <w:tblPr>
        <w:tblStyle w:val="a8"/>
        <w:tblW w:w="0" w:type="auto"/>
        <w:tblLook w:val="0600" w:firstRow="0" w:lastRow="0" w:firstColumn="0" w:lastColumn="0" w:noHBand="1" w:noVBand="1"/>
      </w:tblPr>
      <w:tblGrid>
        <w:gridCol w:w="1505"/>
        <w:gridCol w:w="4643"/>
        <w:gridCol w:w="2019"/>
        <w:gridCol w:w="1923"/>
      </w:tblGrid>
      <w:tr w:rsidR="005C37F0" w:rsidRPr="005C37F0" w:rsidTr="005C37F0">
        <w:tc>
          <w:tcPr>
            <w:tcW w:w="6148" w:type="dxa"/>
            <w:gridSpan w:val="2"/>
          </w:tcPr>
          <w:p w:rsidR="005C37F0" w:rsidRPr="005C37F0" w:rsidRDefault="005C37F0" w:rsidP="005C37F0">
            <w:pPr>
              <w:keepNext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 w:colFirst="3" w:colLast="3"/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Контрольний захід</w:t>
            </w:r>
          </w:p>
        </w:tc>
        <w:tc>
          <w:tcPr>
            <w:tcW w:w="2019" w:type="dxa"/>
          </w:tcPr>
          <w:p w:rsidR="005C37F0" w:rsidRPr="005C37F0" w:rsidRDefault="005C37F0" w:rsidP="005C37F0">
            <w:pPr>
              <w:keepNext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</w:tcPr>
          <w:p w:rsidR="005C37F0" w:rsidRPr="005C37F0" w:rsidRDefault="005C37F0" w:rsidP="005C37F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5C37F0" w:rsidRPr="005C37F0" w:rsidTr="005C37F0">
        <w:tc>
          <w:tcPr>
            <w:tcW w:w="6148" w:type="dxa"/>
            <w:gridSpan w:val="2"/>
          </w:tcPr>
          <w:p w:rsidR="005C37F0" w:rsidRPr="005C37F0" w:rsidRDefault="005C37F0" w:rsidP="005C37F0">
            <w:pPr>
              <w:keepNext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</w:tcPr>
          <w:p w:rsidR="005C37F0" w:rsidRPr="005C37F0" w:rsidRDefault="005C37F0" w:rsidP="005C37F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C37F0" w:rsidRPr="005C37F0" w:rsidRDefault="005C37F0" w:rsidP="005C37F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62F1" w:rsidRPr="005C37F0" w:rsidTr="00B01E17">
        <w:tc>
          <w:tcPr>
            <w:tcW w:w="1505" w:type="dxa"/>
            <w:vMerge w:val="restart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</w:t>
            </w: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vMerge w:val="restart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1,2</w:t>
            </w:r>
          </w:p>
          <w:p w:rsidR="001762F1" w:rsidRPr="005C37F0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B01E17">
        <w:tc>
          <w:tcPr>
            <w:tcW w:w="1505" w:type="dxa"/>
            <w:vMerge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510"/>
        </w:trPr>
        <w:tc>
          <w:tcPr>
            <w:tcW w:w="1505" w:type="dxa"/>
            <w:vMerge w:val="restart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vMerge w:val="restart"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1200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2, 3</w:t>
            </w: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 w:val="restart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vMerge w:val="restart"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3, 4</w:t>
            </w: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1200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 w:val="restart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vMerge w:val="restart"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4, 5</w:t>
            </w:r>
          </w:p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1200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 w:val="restart"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vMerge w:val="restart"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5, 6</w:t>
            </w:r>
          </w:p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1200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 w:val="restart"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vMerge w:val="restart"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7, 8</w:t>
            </w:r>
          </w:p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1200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 w:val="restart"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vMerge w:val="restart"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8, 9</w:t>
            </w:r>
          </w:p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1200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 w:val="restart"/>
          </w:tcPr>
          <w:p w:rsidR="001762F1" w:rsidRPr="001762F1" w:rsidRDefault="001762F1" w:rsidP="001762F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vMerge w:val="restart"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10, 11</w:t>
            </w:r>
          </w:p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1762F1" w:rsidRPr="005C37F0" w:rsidTr="005C37F0">
        <w:trPr>
          <w:trHeight w:val="451"/>
        </w:trPr>
        <w:tc>
          <w:tcPr>
            <w:tcW w:w="1505" w:type="dxa"/>
            <w:vMerge/>
          </w:tcPr>
          <w:p w:rsidR="001762F1" w:rsidRPr="00812002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</w:tcPr>
          <w:p w:rsidR="001762F1" w:rsidRPr="005C37F0" w:rsidRDefault="001762F1" w:rsidP="001762F1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1200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vMerge/>
          </w:tcPr>
          <w:p w:rsidR="001762F1" w:rsidRPr="00812002" w:rsidRDefault="001762F1" w:rsidP="001762F1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1762F1" w:rsidRPr="007B2093" w:rsidRDefault="001762F1" w:rsidP="001762F1"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20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5C37F0" w:rsidRPr="005C37F0" w:rsidTr="005C37F0">
        <w:tc>
          <w:tcPr>
            <w:tcW w:w="6148" w:type="dxa"/>
            <w:gridSpan w:val="2"/>
          </w:tcPr>
          <w:p w:rsidR="005C37F0" w:rsidRPr="005C37F0" w:rsidRDefault="005C37F0" w:rsidP="005C37F0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5C37F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</w:tcPr>
          <w:p w:rsidR="005C37F0" w:rsidRPr="005C37F0" w:rsidRDefault="005C37F0" w:rsidP="005C37F0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</w:tcPr>
          <w:p w:rsidR="005C37F0" w:rsidRPr="005C37F0" w:rsidRDefault="005C37F0" w:rsidP="005C37F0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5C37F0" w:rsidRPr="005C37F0" w:rsidTr="005C37F0">
        <w:tc>
          <w:tcPr>
            <w:tcW w:w="6148" w:type="dxa"/>
            <w:gridSpan w:val="2"/>
          </w:tcPr>
          <w:p w:rsidR="005C37F0" w:rsidRPr="005C37F0" w:rsidRDefault="005C37F0" w:rsidP="005C37F0">
            <w:pPr>
              <w:keepNext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</w:tcPr>
          <w:p w:rsidR="005C37F0" w:rsidRPr="005C37F0" w:rsidRDefault="005C37F0" w:rsidP="005C37F0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</w:tcPr>
          <w:p w:rsidR="005C37F0" w:rsidRPr="005C37F0" w:rsidRDefault="005C37F0" w:rsidP="005C37F0">
            <w:pPr>
              <w:keepNext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5C37F0" w:rsidRPr="005C37F0" w:rsidTr="005C37F0">
        <w:tc>
          <w:tcPr>
            <w:tcW w:w="6148" w:type="dxa"/>
            <w:gridSpan w:val="2"/>
          </w:tcPr>
          <w:p w:rsidR="005C37F0" w:rsidRPr="005C37F0" w:rsidRDefault="005C37F0" w:rsidP="005C37F0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5C37F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</w:tcPr>
          <w:p w:rsidR="005C37F0" w:rsidRPr="005C37F0" w:rsidRDefault="005C37F0" w:rsidP="005C37F0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</w:tcPr>
          <w:p w:rsidR="005C37F0" w:rsidRPr="005C37F0" w:rsidRDefault="005C37F0" w:rsidP="005C37F0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c>
          <w:tcPr>
            <w:tcW w:w="6148" w:type="dxa"/>
            <w:gridSpan w:val="2"/>
          </w:tcPr>
          <w:p w:rsidR="005C37F0" w:rsidRPr="005C37F0" w:rsidRDefault="005C37F0" w:rsidP="005C37F0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</w:tcPr>
          <w:p w:rsidR="005C37F0" w:rsidRPr="005C37F0" w:rsidRDefault="005C37F0" w:rsidP="005C37F0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</w:tcPr>
          <w:p w:rsidR="005C37F0" w:rsidRPr="005C37F0" w:rsidRDefault="005C37F0" w:rsidP="005C37F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  <w:bookmarkEnd w:id="0"/>
    </w:tbl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C37F0" w:rsidRPr="005C37F0" w:rsidRDefault="005C37F0" w:rsidP="005C37F0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5C37F0" w:rsidRPr="005C37F0" w:rsidTr="005C37F0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5C37F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5C37F0" w:rsidRPr="005C37F0" w:rsidRDefault="005C37F0" w:rsidP="005C37F0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5C37F0" w:rsidRPr="005C37F0" w:rsidTr="005C37F0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C37F0" w:rsidRPr="005C37F0" w:rsidTr="005C37F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5C37F0" w:rsidRPr="005C37F0" w:rsidTr="005C37F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5C37F0" w:rsidRPr="005C37F0" w:rsidTr="005C37F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0" w:rsidRPr="005C37F0" w:rsidRDefault="005C37F0" w:rsidP="005C37F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0" w:rsidRPr="005C37F0" w:rsidRDefault="005C37F0" w:rsidP="005C37F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5C37F0" w:rsidRPr="005C37F0" w:rsidRDefault="005C37F0" w:rsidP="005C37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1994"/>
        <w:gridCol w:w="5263"/>
        <w:gridCol w:w="1471"/>
      </w:tblGrid>
      <w:tr w:rsidR="005C37F0" w:rsidRPr="005C37F0" w:rsidTr="005C37F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7F0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5C37F0" w:rsidRPr="005C37F0" w:rsidTr="005C37F0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5C37F0" w:rsidRPr="005C37F0" w:rsidTr="005C37F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Основні поняття й терміни інформаційного права.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Основні поняття й терміни інформаційного права.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Практичне завдання – шляхом ретельного аналізу законодавчої бази визначити основні принципи формування правових норм діяльності мас-медіа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2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Медіаправо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актуальна складова журналістської діяльності. Основи інформаційного законодавства України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2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Медіаправо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актуальна складова журналістської діяльності. Основи інформаційного законодавства України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Практичне завдання: підготуватися до ділової гри на тему «Професійні ситуації у розрізі </w:t>
            </w: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медіаправа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5C37F0" w:rsidRPr="005C37F0" w:rsidTr="005C37F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3-4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Міжнародно-правові норми журналістської діяльності. Рішення </w:t>
            </w: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Европейського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суду з прав людини щодо свободи вираження поглядів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2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3-4 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Міжнародно-правові норми журналістської </w:t>
            </w: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діяльності. Рішення </w:t>
            </w: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Европейського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суду з прав людини щодо свободи вираження поглядів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Підготуватися до ділової гри на тему «Процедура розгляду справ в </w:t>
            </w: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Европейському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суді прав людини».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16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3</w:t>
            </w:r>
          </w:p>
        </w:tc>
      </w:tr>
      <w:tr w:rsidR="005C37F0" w:rsidRPr="005C37F0" w:rsidTr="005C37F0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ЗУ «Про інформацію» як основний документ у сфері </w:t>
            </w: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медіаправа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34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ЗУ «Про інформацію» як основний документ у сфері </w:t>
            </w: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медіаправа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Здійснити моніторинг обраних ЗМІ (перелік додається у плані практичного заняття) у розрізі використання журналістами оціночних суджень.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3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5C37F0" w:rsidRPr="005C37F0" w:rsidTr="005C37F0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6-7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Регулювання доступу до публічної інформації: ЗУ «Про доступ до публічної інформації»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2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6-7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Регулювання доступу до публічної інформації: ЗУ «Про доступ до публічної інформації»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Практичне завдання – ознайомтеся з процедурою оформлення запиту інформацію. Оберіть тему запиту до суб’єкта владних повноважень.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29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5</w:t>
            </w:r>
          </w:p>
        </w:tc>
      </w:tr>
      <w:tr w:rsidR="005C37F0" w:rsidRPr="005C37F0" w:rsidTr="005C37F0">
        <w:trPr>
          <w:trHeight w:val="40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Правові норми діяльності друкованих ЗМІ та Інтернет-видань в Україні: ЗУ «Про друковані засоби масової інформації (пресу ) в Україні»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3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8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Правові норми діяльності друкованих ЗМІ та Інтернет-видань в Україні: ЗУ «Про друковані засоби масової інформації (пресу ) в Україні»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Практичне завдання – на сайті Міністерства юстиції України </w:t>
            </w:r>
            <w:hyperlink r:id="rId7" w:history="1">
              <w:r w:rsidRPr="005C37F0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ar-SA"/>
                </w:rPr>
                <w:t>https://minjust.gov.ua/dep/ddr/derjavna-reestratsiya-drukovanih-zasobiv-masovoi-informatsii</w:t>
              </w:r>
            </w:hyperlink>
            <w:r w:rsidRPr="005C37F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ознайомитися з процедурою державної реєстрації друкованих засобів масової інформації. На основі наведеної процедури заповніть необхідну інформацію для державної реєстрації Вашого гіпотетичного друкованого ЗМІ / інтернет-видання / інформаційного </w:t>
            </w:r>
            <w:proofErr w:type="spellStart"/>
            <w:r w:rsidRPr="005C37F0">
              <w:rPr>
                <w:rFonts w:ascii="Times New Roman" w:eastAsia="Times New Roman" w:hAnsi="Times New Roman" w:cs="Times New Roman"/>
                <w:lang w:val="uk-UA" w:eastAsia="ar-SA"/>
              </w:rPr>
              <w:t>агенства</w:t>
            </w:r>
            <w:proofErr w:type="spellEnd"/>
            <w:r w:rsidRPr="005C37F0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30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6</w:t>
            </w:r>
          </w:p>
        </w:tc>
      </w:tr>
      <w:tr w:rsidR="005C37F0" w:rsidRPr="005C37F0" w:rsidTr="005C37F0">
        <w:trPr>
          <w:trHeight w:val="24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9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Правові норми діяльності аудіовізуальних ЗМІ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24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9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Правові норми діяльності аудіовізуальних ЗМІ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Практичне завдання – на сайті Міністерства оборони України ознайомтеся з Порядком співпраці з журналістами, які працюють в районі проведення операції Об’єднаних сил. Змоделюйте ситуацію: Ви працюєте журналістом ООС, визначте перелік документів, необхідний Вам, схарактеризуйте  вимоги до діяльності делегує Вам держава.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269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7</w:t>
            </w:r>
          </w:p>
        </w:tc>
      </w:tr>
      <w:tr w:rsidR="005C37F0" w:rsidRPr="005C37F0" w:rsidTr="005C37F0">
        <w:trPr>
          <w:trHeight w:val="17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5C37F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Соціальні гарантії творчої діяльності журналіста й державна підтримка ЗМІ: ЗУ «Про державну підтримку засобів масової інформації та </w:t>
            </w:r>
          </w:p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Times New Roman" w:hAnsi="Times New Roman" w:cs="Times New Roman"/>
                <w:lang w:val="uk-UA" w:eastAsia="ar-SA"/>
              </w:rPr>
              <w:t>соціальний захист журналістів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171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Соціальні гарантії творчої діяльності журналіста й державна підтримка ЗМІ: ЗУ «Про державну підтримку засобів масової інформації та </w:t>
            </w:r>
          </w:p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соціальний захист журналістів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Практичне завдання – на сайті Міністерства оборони України ознайомтеся з Порядком співпраці з журналістами, які працюють в районі проведення операції Об’єднаних сил. Змоделюйте ситуацію: Ви працюєте журналістом ООС, визначте перелік документів, необхідний Вам, схарактеризуйте  вимоги до діяльності делегує Вам держава.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1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11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Відносини власності та особливості приватизації у сфері інформаційної діяльності. Особливості соціального захисту журналістів з урахуванням специфіки журналістської діяльності. Охорона праці журналістів.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7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11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Відносини власності та особливості приватизації у сфері інформаційної діяльності. Особливості соціального захисту журналістів з урахуванням специфіки журналістської діяльності. Охорона праці журналістів.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Вимоги до виконання та оформлення: базові критерії оформлення документів розміщено на сайті Міністерства оборони України https://www.mil.gov.ua/news/2018/04/24/poryadok-spivpraczi-z-zhurnalistami-yaki-praczyuyut-v-rajoni-provedennya-operaczii-obednanih-sil/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C37F0" w:rsidRPr="005C37F0" w:rsidTr="005C37F0">
        <w:trPr>
          <w:trHeight w:val="17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8</w:t>
            </w:r>
          </w:p>
        </w:tc>
      </w:tr>
      <w:tr w:rsidR="005C37F0" w:rsidRPr="005C37F0" w:rsidTr="005C37F0">
        <w:trPr>
          <w:trHeight w:val="18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12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Виборче право України та діяльність засобів масової інформації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C37F0" w:rsidRPr="005C37F0" w:rsidTr="005C37F0">
        <w:trPr>
          <w:trHeight w:val="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12</w:t>
            </w:r>
          </w:p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Виборче право України та діяльність засобів масової інформації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Практичне завдання – на основі виборчого процесу до місцевих органів влади-2020 знайдіть порушення </w:t>
            </w:r>
            <w:proofErr w:type="spellStart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суб’ктами</w:t>
            </w:r>
            <w:proofErr w:type="spellEnd"/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виборів Виборчого кодексу України.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F0" w:rsidRPr="005C37F0" w:rsidRDefault="005C37F0" w:rsidP="005C37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ОСНОВНІ ДЖЕРЕЛА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5C37F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5C37F0" w:rsidRPr="005C37F0" w:rsidRDefault="005C37F0" w:rsidP="005C37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Галаджун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З. В. Правові основи журналістики України. Львів : СПОЛОМ, 2016. 190 с.</w:t>
      </w:r>
    </w:p>
    <w:p w:rsidR="005C37F0" w:rsidRPr="005C37F0" w:rsidRDefault="005C37F0" w:rsidP="005C37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Каткова Т. Г. Інформаційне право. Практикум :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Харків : Право, 2019. 108 с.</w:t>
      </w:r>
    </w:p>
    <w:p w:rsidR="005C37F0" w:rsidRPr="005C37F0" w:rsidRDefault="005C37F0" w:rsidP="005C37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Куліш А. М. Інформаційне право України :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Суми : Сумський державний університет, 2016. 108 с.</w:t>
      </w:r>
    </w:p>
    <w:p w:rsidR="005C37F0" w:rsidRPr="005C37F0" w:rsidRDefault="005C37F0" w:rsidP="005C37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Нашинець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-Наумова А. Ю. Інформаційне право: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Київ : Київ. ун-т ім. Б. Грінченка, 2020. 136 с.</w:t>
      </w:r>
    </w:p>
    <w:p w:rsidR="005C37F0" w:rsidRPr="005C37F0" w:rsidRDefault="005C37F0" w:rsidP="005C37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Приступенко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Т. . Теорія журналістики: етичні та правові засади діяльності засобів масової інформації: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Київ : Знання, 2011. 351 с.</w:t>
      </w:r>
    </w:p>
    <w:p w:rsidR="005C37F0" w:rsidRPr="005C37F0" w:rsidRDefault="005C37F0" w:rsidP="005C37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Що українці знають і думають про права людини: загальнонаціональне дослідження / [І.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Бекешкіна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Т.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Печончик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В. Яворський та ін.]; під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заг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ред. Т.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Печончик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Київ, 2017. 308 с.</w:t>
      </w:r>
    </w:p>
    <w:p w:rsidR="005C37F0" w:rsidRPr="005C37F0" w:rsidRDefault="005C37F0" w:rsidP="005C37F0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Нормативні документи: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Національна стратегія у сфері прав людини, №501/2015, ред. від 25.08.2015 URL: http://zakon3.rada.gov.ua/laws/show/501/2015.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Рамкова конвенція про захист національних меншин, документ 995_055, ратифікація від 09.12.1997. URL:  http://zakon0.rada.gov.ua/laws/show/995_055.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Конвенція про права осіб з інвалідністю, документ 995_g71, редакція від 06.07.2016. URL:http://zakon0.rada.gov.ua/laws/show/995_g71.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Закон України “Про інформацію”, №2657-12, ред. від 01.01.2017. URL: http://zakon3.rada.gov.ua/laws/show/2657-12.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Закон України “Про національні меншини в Україні”, №2494-12, ред. від 12.12.2012. URL: http://zakon2.rada.gov.ua/laws/show/2494-12.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6.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Закон України “Про забезпечення прав і свобод внутрішньо переміщених осіб”, №1706-18, ред. від 20.04.2017. URL: http://zakon2.rada.gov.ua/laws/show/1706-18.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7.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Про підвищення рівня соціального захисту найбільш вразливих верств населення, Постанова Кабінету Міністрів України від 28 грудня 2011 р. № 1. URL: http://zakon5.rada.gov.ua/laws/show/1381-2011-%D0%BF. 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8.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Закон України “Про соціальні послуги”, №966-15, ред. від 21.02.2016. URL: http://zakon5.rada.gov.ua/laws/show/966-15.</w:t>
      </w:r>
    </w:p>
    <w:p w:rsidR="005C37F0" w:rsidRPr="005C37F0" w:rsidRDefault="005C37F0" w:rsidP="005C37F0">
      <w:pPr>
        <w:spacing w:after="0" w:line="240" w:lineRule="auto"/>
        <w:ind w:left="720" w:hanging="43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9.</w:t>
      </w: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засади запобігання та протидії дискримінації в Україні”, №5207-17, ред. від 30.05.2014. URL: </w:t>
      </w:r>
      <w:hyperlink r:id="rId8" w:history="1">
        <w:r w:rsidRPr="005C37F0">
          <w:rPr>
            <w:rFonts w:ascii="Times New Roman" w:eastAsia="MS Mincho" w:hAnsi="Times New Roman" w:cs="Times New Roman"/>
            <w:bCs/>
            <w:color w:val="0000FF"/>
            <w:sz w:val="24"/>
            <w:szCs w:val="24"/>
            <w:u w:val="single"/>
            <w:lang w:val="uk-UA"/>
          </w:rPr>
          <w:t>http://zakon5.rada.gov.ua/laws/show/5207-17</w:t>
        </w:r>
      </w:hyperlink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Академія української преси. </w:t>
      </w:r>
      <w:r w:rsidRPr="005C3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hyperlink r:id="rId9" w:history="1"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</w:t>
        </w:r>
        <w:proofErr w:type="spellStart"/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aup</w:t>
        </w:r>
        <w:proofErr w:type="spellEnd"/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Бібліотека українських підручників.</w:t>
      </w:r>
      <w:r w:rsidRPr="005C37F0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proofErr w:type="gramStart"/>
      <w:r w:rsidRPr="005C37F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URL</w:t>
      </w:r>
      <w:r w:rsidRPr="005C37F0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:</w:t>
      </w:r>
      <w:proofErr w:type="gramEnd"/>
      <w:r w:rsidRPr="005C37F0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hyperlink r:id="rId10" w:history="1"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http://pidruchniki.ws</w:t>
        </w:r>
      </w:hyperlink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Scholar</w:t>
      </w:r>
      <w:proofErr w:type="spellEnd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URL : </w:t>
      </w:r>
      <w:hyperlink r:id="rId11" w:history="1"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https://scholar.google.com.ua/</w:t>
        </w:r>
      </w:hyperlink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Детектор Медіа. URL : </w:t>
      </w:r>
      <w:hyperlink r:id="rId12" w:history="1"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https://detector.media/</w:t>
        </w:r>
      </w:hyperlink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Національна бібліотека України імені В. І. Вернадського. URL : </w:t>
      </w:r>
      <w:hyperlink r:id="rId13" w:history="1"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https://nbuv.gov.ua</w:t>
        </w:r>
      </w:hyperlink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Офіційний </w:t>
      </w:r>
      <w:proofErr w:type="spellStart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вебпортал</w:t>
      </w:r>
      <w:proofErr w:type="spellEnd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парламенту України. URL : https://rada.gov.ua  </w:t>
      </w:r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URL : </w:t>
      </w:r>
      <w:hyperlink r:id="rId14" w:history="1"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https://clarivate.com/webofsciencegroup/solutions/web-of-science/</w:t>
        </w:r>
      </w:hyperlink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Academia.edu. URL : </w:t>
      </w:r>
      <w:hyperlink r:id="rId15" w:history="1">
        <w:r w:rsidRPr="005C3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https://www.academia.edu/</w:t>
        </w:r>
      </w:hyperlink>
      <w:r w:rsidRPr="005C3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C37F0" w:rsidRPr="005C37F0" w:rsidRDefault="005C37F0" w:rsidP="005C37F0">
      <w:pPr>
        <w:numPr>
          <w:ilvl w:val="0"/>
          <w:numId w:val="5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37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Encyclopaedia</w:t>
      </w:r>
      <w:proofErr w:type="spellEnd"/>
      <w:r w:rsidRPr="005C37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Britannica</w:t>
      </w:r>
      <w:r w:rsidRPr="005C37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URL : </w:t>
      </w:r>
      <w:hyperlink r:id="rId16" w:history="1">
        <w:r w:rsidRPr="005C37F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ru-RU"/>
          </w:rPr>
          <w:t>https://www.britannica.com/</w:t>
        </w:r>
      </w:hyperlink>
      <w:r w:rsidRPr="005C37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5C37F0" w:rsidRPr="005C37F0" w:rsidRDefault="005C37F0" w:rsidP="005C37F0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</w:p>
    <w:p w:rsidR="005C37F0" w:rsidRPr="005C37F0" w:rsidRDefault="005C37F0" w:rsidP="005C37F0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5C37F0" w:rsidRPr="005C37F0" w:rsidRDefault="005C37F0" w:rsidP="005C37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5C37F0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Відвідування усіх занять є обов’язковим, оскільки курс зорієнтовано на формування практичних комунікаційних навичок. 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перевірки практичних і творчих завдань на плагіат (зосібна, спеціалізованого програмного забезпечення </w:t>
      </w:r>
      <w:proofErr w:type="spellStart"/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бали за виконання завдань не будуть нараховуватися. 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Пам’ятайте, що відповідно до ЗУ «Про авторське право і суміжні права» плагіат – «це оприлюднення  (опублікування),  повністю   або частково,  чужого  твору під іменем особи,  яка не є автором цього твору». 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 (Рекомендації щодо запобігання академічному плагіату та його виявлення в наукових роботах (авторефератах, дисертаціях, монографіях, наукових доповідях, статтях тощо)).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17" w:history="1">
        <w:r w:rsidRPr="005C37F0">
          <w:rPr>
            <w:rFonts w:ascii="Times New Roman" w:eastAsia="MS Mincho" w:hAnsi="Times New Roman" w:cs="Times New Roman"/>
            <w:bCs/>
            <w:i/>
            <w:iCs/>
            <w:color w:val="0000FF"/>
            <w:sz w:val="24"/>
            <w:szCs w:val="24"/>
            <w:u w:val="single"/>
            <w:lang w:val="uk-UA"/>
          </w:rPr>
          <w:t>http://aphd.ua/rekomendatsi-shchodo-zapobihannia-akademichnomu-plahiatu-ta-ioho-vyiavlennia-v-naukovykh-robotakh/</w:t>
        </w:r>
      </w:hyperlink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Studfile.net,  </w:t>
      </w:r>
      <w:proofErr w:type="spellStart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5C37F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Studopedia.org та ін. 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Під час занять користуватися мобільними телефонами, ноутбуками, планшетами та іншими персональними </w:t>
      </w:r>
      <w:proofErr w:type="spellStart"/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 w:rsidRPr="005C37F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5C37F0" w:rsidRPr="005C37F0" w:rsidRDefault="005C37F0" w:rsidP="005C37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5C37F0" w:rsidRPr="005C37F0" w:rsidRDefault="005C37F0" w:rsidP="005C37F0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</w:t>
      </w:r>
      <w:proofErr w:type="spellStart"/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комунікує</w:t>
      </w:r>
      <w:proofErr w:type="spellEnd"/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зі студентами за допомогою електронної пошти, </w:t>
      </w:r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5C37F0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Messenger. Викладач відповідатиме на письмові запити студентів терміново упродовж усього навчального тижня. Вітається порядне ставлення студентів до </w:t>
      </w:r>
      <w:proofErr w:type="spellStart"/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приватності</w:t>
      </w:r>
      <w:proofErr w:type="spellEnd"/>
      <w:r w:rsidRPr="005C37F0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викладача у вихідні дні. </w:t>
      </w:r>
    </w:p>
    <w:p w:rsidR="005C37F0" w:rsidRPr="005C37F0" w:rsidRDefault="005C37F0" w:rsidP="005C37F0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5C37F0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>ДОДАТОК ДО СИЛАБУСУ ЗНУ – 2020-2021 рр.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5C37F0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5C37F0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5C37F0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5C37F0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18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https://tinyurl.com/ya6yk4ad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5C37F0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9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https://tinyurl.com/y6wzzlu3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5C37F0" w:rsidRPr="005C37F0" w:rsidRDefault="005C37F0" w:rsidP="005C37F0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5C37F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0" w:history="1"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5C37F0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5C37F0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5C37F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1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https://tinyurl.com/y9pkmmp5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5C37F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2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https://tinyurl.com/ycds57la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5C37F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3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https://tinyurl.com/y8gbt4xs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5C37F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4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https://tinyurl.com/ycyfws9v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5C37F0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5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https://tinyurl.com/yd6bq6p9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5C37F0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6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https://tinyurl.com/y9r5dpwh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5C37F0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5C37F0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5C37F0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proofErr w:type="gramStart"/>
      <w:r w:rsidRPr="005C37F0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5C37F0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</w:t>
      </w:r>
      <w:proofErr w:type="gramEnd"/>
      <w:r w:rsidRPr="005C37F0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 тел. +38 (061) 289-14-18).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27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https://tinyurl.com/ydhcsagx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8" w:history="1">
        <w:r w:rsidRPr="005C37F0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http://library.znu.edu.ua</w:t>
        </w:r>
      </w:hyperlink>
      <w:r w:rsidRPr="005C37F0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5C37F0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5C37F0" w:rsidRPr="005C37F0" w:rsidRDefault="005C37F0" w:rsidP="005C37F0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5C37F0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5C37F0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p w:rsidR="005C37F0" w:rsidRPr="005C37F0" w:rsidRDefault="005C37F0" w:rsidP="005C37F0">
      <w:pPr>
        <w:spacing w:after="200" w:line="276" w:lineRule="auto"/>
        <w:rPr>
          <w:rFonts w:ascii="Calibri" w:eastAsia="Calibri" w:hAnsi="Calibri" w:cs="Times New Roman"/>
        </w:rPr>
      </w:pPr>
    </w:p>
    <w:p w:rsidR="00D3079D" w:rsidRDefault="00D3079D"/>
    <w:sectPr w:rsidR="00D3079D" w:rsidSect="005C37F0">
      <w:headerReference w:type="default" r:id="rId2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9B" w:rsidRDefault="005C209B" w:rsidP="005C37F0">
      <w:pPr>
        <w:spacing w:after="0" w:line="240" w:lineRule="auto"/>
      </w:pPr>
      <w:r>
        <w:separator/>
      </w:r>
    </w:p>
  </w:endnote>
  <w:endnote w:type="continuationSeparator" w:id="0">
    <w:p w:rsidR="005C209B" w:rsidRDefault="005C209B" w:rsidP="005C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9B" w:rsidRDefault="005C209B" w:rsidP="005C37F0">
      <w:pPr>
        <w:spacing w:after="0" w:line="240" w:lineRule="auto"/>
      </w:pPr>
      <w:r>
        <w:separator/>
      </w:r>
    </w:p>
  </w:footnote>
  <w:footnote w:type="continuationSeparator" w:id="0">
    <w:p w:rsidR="005C209B" w:rsidRDefault="005C209B" w:rsidP="005C37F0">
      <w:pPr>
        <w:spacing w:after="0" w:line="240" w:lineRule="auto"/>
      </w:pPr>
      <w:r>
        <w:continuationSeparator/>
      </w:r>
    </w:p>
  </w:footnote>
  <w:footnote w:id="1">
    <w:p w:rsidR="005C37F0" w:rsidRPr="00112384" w:rsidRDefault="005C37F0" w:rsidP="005C37F0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5C37F0" w:rsidRPr="009F6B92" w:rsidRDefault="005C37F0" w:rsidP="005C37F0">
      <w:pPr>
        <w:pStyle w:val="a5"/>
        <w:rPr>
          <w:i/>
          <w:lang w:val="ru-RU"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F0" w:rsidRPr="006F1B80" w:rsidRDefault="005C37F0" w:rsidP="005C37F0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52E7BE" wp14:editId="72915457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5C37F0" w:rsidRPr="00E42FA1" w:rsidRDefault="005C37F0" w:rsidP="005C37F0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5C37F0" w:rsidRPr="009E7399" w:rsidRDefault="005C37F0" w:rsidP="005C37F0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5C37F0" w:rsidRPr="00CF2559" w:rsidRDefault="005C37F0" w:rsidP="005C37F0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6D10"/>
    <w:multiLevelType w:val="hybridMultilevel"/>
    <w:tmpl w:val="37C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3B96"/>
    <w:multiLevelType w:val="hybridMultilevel"/>
    <w:tmpl w:val="37B6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F0"/>
    <w:rsid w:val="001762F1"/>
    <w:rsid w:val="005C209B"/>
    <w:rsid w:val="005C37F0"/>
    <w:rsid w:val="00812002"/>
    <w:rsid w:val="008735BD"/>
    <w:rsid w:val="00C51420"/>
    <w:rsid w:val="00D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C264-3C48-4D2F-88EE-1744041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7F0"/>
  </w:style>
  <w:style w:type="paragraph" w:styleId="a5">
    <w:name w:val="footnote text"/>
    <w:basedOn w:val="a"/>
    <w:link w:val="1"/>
    <w:semiHidden/>
    <w:rsid w:val="005C37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5C37F0"/>
    <w:rPr>
      <w:sz w:val="20"/>
      <w:szCs w:val="20"/>
    </w:rPr>
  </w:style>
  <w:style w:type="character" w:styleId="a7">
    <w:name w:val="footnote reference"/>
    <w:semiHidden/>
    <w:rsid w:val="005C37F0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5C37F0"/>
    <w:rPr>
      <w:rFonts w:ascii="Times New Roman" w:eastAsia="MS Mincho" w:hAnsi="Times New Roman" w:cs="Times New Roman"/>
      <w:sz w:val="20"/>
      <w:szCs w:val="20"/>
      <w:lang w:val="x-none"/>
    </w:rPr>
  </w:style>
  <w:style w:type="table" w:styleId="a8">
    <w:name w:val="Table Grid"/>
    <w:basedOn w:val="a1"/>
    <w:uiPriority w:val="59"/>
    <w:rsid w:val="005C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207-17" TargetMode="External"/><Relationship Id="rId13" Type="http://schemas.openxmlformats.org/officeDocument/2006/relationships/hyperlink" Target="https://nbuv.gov.ua" TargetMode="External"/><Relationship Id="rId18" Type="http://schemas.openxmlformats.org/officeDocument/2006/relationships/hyperlink" Target="https://tinyurl.com/ya6yk4ad" TargetMode="External"/><Relationship Id="rId26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9pkmmp5" TargetMode="External"/><Relationship Id="rId7" Type="http://schemas.openxmlformats.org/officeDocument/2006/relationships/hyperlink" Target="https://minjust.gov.ua/dep/ddr/derjavna-reestratsiya-drukovanih-zasobiv-masovoi-informatsii" TargetMode="External"/><Relationship Id="rId12" Type="http://schemas.openxmlformats.org/officeDocument/2006/relationships/hyperlink" Target="https://detector.media/" TargetMode="External"/><Relationship Id="rId17" Type="http://schemas.openxmlformats.org/officeDocument/2006/relationships/hyperlink" Target="http://aphd.ua/rekomendatsi-shchodo-zapobihannia-akademichnomu-plahiatu-ta-ioho-vyiavlennia-v-naukovykh-robotakh/" TargetMode="External"/><Relationship Id="rId25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" TargetMode="External"/><Relationship Id="rId20" Type="http://schemas.openxmlformats.org/officeDocument/2006/relationships/hyperlink" Target="https://tinyurl.com/y9tve4l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.ua/" TargetMode="External"/><Relationship Id="rId24" Type="http://schemas.openxmlformats.org/officeDocument/2006/relationships/hyperlink" Target="https://tinyurl.com/ycyfws9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ademia.edu/" TargetMode="External"/><Relationship Id="rId23" Type="http://schemas.openxmlformats.org/officeDocument/2006/relationships/hyperlink" Target="https://tinyurl.com/y8gbt4xs" TargetMode="External"/><Relationship Id="rId28" Type="http://schemas.openxmlformats.org/officeDocument/2006/relationships/hyperlink" Target="http://library.znu.edu.ua" TargetMode="External"/><Relationship Id="rId10" Type="http://schemas.openxmlformats.org/officeDocument/2006/relationships/hyperlink" Target="http://pidruchniki.ws" TargetMode="External"/><Relationship Id="rId19" Type="http://schemas.openxmlformats.org/officeDocument/2006/relationships/hyperlink" Target="https://tinyurl.com/y6wzzlu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up.com.ua" TargetMode="External"/><Relationship Id="rId14" Type="http://schemas.openxmlformats.org/officeDocument/2006/relationships/hyperlink" Target="https://clarivate.com/webofsciencegroup/solutions/web-of-science/" TargetMode="External"/><Relationship Id="rId22" Type="http://schemas.openxmlformats.org/officeDocument/2006/relationships/hyperlink" Target="https://tinyurl.com/ycds57la" TargetMode="External"/><Relationship Id="rId27" Type="http://schemas.openxmlformats.org/officeDocument/2006/relationships/hyperlink" Target="https://tinyurl.com/ydhcsag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2021-02-01T01:23:00Z</dcterms:created>
  <dcterms:modified xsi:type="dcterms:W3CDTF">2021-02-01T02:46:00Z</dcterms:modified>
</cp:coreProperties>
</file>