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6C" w:rsidRPr="002C3E6C" w:rsidRDefault="002C3E6C" w:rsidP="002C3E6C">
      <w:pPr>
        <w:spacing w:after="0" w:line="240" w:lineRule="auto"/>
        <w:ind w:left="720"/>
        <w:jc w:val="center"/>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Практичне заняття №1</w:t>
      </w:r>
    </w:p>
    <w:p w:rsidR="002C3E6C" w:rsidRPr="002C3E6C" w:rsidRDefault="002C3E6C" w:rsidP="002C3E6C">
      <w:pPr>
        <w:spacing w:after="0" w:line="240" w:lineRule="auto"/>
        <w:ind w:left="720"/>
        <w:jc w:val="center"/>
        <w:rPr>
          <w:rFonts w:ascii="Times New Roman" w:eastAsia="Times New Roman" w:hAnsi="Times New Roman" w:cs="Times New Roman"/>
          <w:b/>
          <w:lang w:val="uk-UA" w:eastAsia="ru-RU"/>
        </w:rPr>
      </w:pPr>
    </w:p>
    <w:p w:rsidR="002C3E6C" w:rsidRPr="002C3E6C" w:rsidRDefault="002C3E6C" w:rsidP="002C3E6C">
      <w:pPr>
        <w:spacing w:after="0" w:line="240" w:lineRule="auto"/>
        <w:ind w:left="720"/>
        <w:jc w:val="center"/>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 xml:space="preserve">МІЖНАРОДНО-ПРАВОВІ НОРМИ </w:t>
      </w:r>
    </w:p>
    <w:p w:rsidR="002C3E6C" w:rsidRPr="002C3E6C" w:rsidRDefault="002C3E6C" w:rsidP="002C3E6C">
      <w:pPr>
        <w:spacing w:after="0" w:line="240" w:lineRule="auto"/>
        <w:ind w:left="720"/>
        <w:jc w:val="center"/>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ЖУРНАЛІСТСЬКОЇ ДІЯЛЬНОСТІ В УКРАЇНІ</w:t>
      </w:r>
    </w:p>
    <w:p w:rsidR="002C3E6C" w:rsidRPr="002C3E6C" w:rsidRDefault="002C3E6C" w:rsidP="002C3E6C">
      <w:pPr>
        <w:spacing w:after="0" w:line="240" w:lineRule="auto"/>
        <w:ind w:left="720"/>
        <w:jc w:val="center"/>
        <w:rPr>
          <w:rFonts w:ascii="Times New Roman" w:eastAsia="Times New Roman" w:hAnsi="Times New Roman" w:cs="Times New Roman"/>
          <w:b/>
          <w:lang w:val="uk-UA" w:eastAsia="ru-RU"/>
        </w:rPr>
      </w:pPr>
    </w:p>
    <w:p w:rsidR="002C3E6C" w:rsidRPr="002C3E6C" w:rsidRDefault="002C3E6C" w:rsidP="002C3E6C">
      <w:pPr>
        <w:numPr>
          <w:ilvl w:val="0"/>
          <w:numId w:val="1"/>
        </w:numPr>
        <w:tabs>
          <w:tab w:val="clear" w:pos="360"/>
          <w:tab w:val="num" w:pos="540"/>
        </w:tabs>
        <w:spacing w:after="0" w:line="240" w:lineRule="auto"/>
        <w:ind w:left="54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 xml:space="preserve">Аналіз основних міжнародних документів, що регулюють діяльність ЗМІ в Україні: </w:t>
      </w:r>
      <w:hyperlink r:id="rId5" w:history="1">
        <w:r w:rsidRPr="002C3E6C">
          <w:rPr>
            <w:rFonts w:ascii="Times New Roman" w:eastAsia="Times New Roman" w:hAnsi="Times New Roman" w:cs="Times New Roman"/>
            <w:lang w:eastAsia="ru-RU"/>
          </w:rPr>
          <w:t>Конвенція про захист осіб у зв'язку з автоматизованою обробкою персональних даних</w:t>
        </w:r>
      </w:hyperlink>
      <w:r w:rsidRPr="002C3E6C">
        <w:rPr>
          <w:rFonts w:ascii="Times New Roman" w:eastAsia="Times New Roman" w:hAnsi="Times New Roman" w:cs="Times New Roman"/>
          <w:lang w:val="uk-UA" w:eastAsia="ru-RU"/>
        </w:rPr>
        <w:t xml:space="preserve"> (2001); </w:t>
      </w:r>
      <w:hyperlink r:id="rId6" w:history="1">
        <w:r w:rsidRPr="002C3E6C">
          <w:rPr>
            <w:rFonts w:ascii="Times New Roman" w:eastAsia="Times New Roman" w:hAnsi="Times New Roman" w:cs="Times New Roman"/>
            <w:lang w:eastAsia="ru-RU"/>
          </w:rPr>
          <w:t>Європейська конвенція про транскордонне телебачення</w:t>
        </w:r>
      </w:hyperlink>
      <w:r w:rsidRPr="002C3E6C">
        <w:rPr>
          <w:rFonts w:ascii="Times New Roman" w:eastAsia="Times New Roman" w:hAnsi="Times New Roman" w:cs="Times New Roman"/>
          <w:lang w:val="uk-UA" w:eastAsia="ru-RU"/>
        </w:rPr>
        <w:t xml:space="preserve"> (1989); </w:t>
      </w:r>
      <w:hyperlink r:id="rId7" w:history="1">
        <w:r w:rsidRPr="002C3E6C">
          <w:rPr>
            <w:rFonts w:ascii="Times New Roman" w:eastAsia="Times New Roman" w:hAnsi="Times New Roman" w:cs="Times New Roman"/>
            <w:lang w:val="uk-UA" w:eastAsia="ru-RU"/>
          </w:rPr>
          <w:t>К</w:t>
        </w:r>
        <w:r w:rsidRPr="002C3E6C">
          <w:rPr>
            <w:rFonts w:ascii="Times New Roman" w:eastAsia="Times New Roman" w:hAnsi="Times New Roman" w:cs="Times New Roman"/>
            <w:lang w:eastAsia="ru-RU"/>
          </w:rPr>
          <w:t>онвенція про захист прав людини і основоположних свобод</w:t>
        </w:r>
      </w:hyperlink>
      <w:r w:rsidRPr="002C3E6C">
        <w:rPr>
          <w:rFonts w:ascii="Times New Roman" w:eastAsia="Times New Roman" w:hAnsi="Times New Roman" w:cs="Times New Roman"/>
          <w:lang w:val="uk-UA" w:eastAsia="ru-RU"/>
        </w:rPr>
        <w:t xml:space="preserve"> (1950); </w:t>
      </w:r>
      <w:hyperlink r:id="rId8" w:history="1">
        <w:r w:rsidRPr="002C3E6C">
          <w:rPr>
            <w:rFonts w:ascii="Times New Roman" w:eastAsia="Times New Roman" w:hAnsi="Times New Roman" w:cs="Times New Roman"/>
            <w:lang w:eastAsia="ru-RU"/>
          </w:rPr>
          <w:t>Декларація про свободу комунікацій в Інтернет</w:t>
        </w:r>
      </w:hyperlink>
      <w:r w:rsidRPr="002C3E6C">
        <w:rPr>
          <w:rFonts w:ascii="Times New Roman" w:eastAsia="Times New Roman" w:hAnsi="Times New Roman" w:cs="Times New Roman"/>
          <w:lang w:val="uk-UA" w:eastAsia="ru-RU"/>
        </w:rPr>
        <w:t xml:space="preserve"> (2003); </w:t>
      </w:r>
      <w:hyperlink r:id="rId9" w:history="1">
        <w:r w:rsidRPr="002C3E6C">
          <w:rPr>
            <w:rFonts w:ascii="Times New Roman" w:eastAsia="Times New Roman" w:hAnsi="Times New Roman" w:cs="Times New Roman"/>
            <w:lang w:eastAsia="ru-RU"/>
          </w:rPr>
          <w:t>Політика в галузі ЗМІ завтрашнього дня</w:t>
        </w:r>
      </w:hyperlink>
      <w:r w:rsidRPr="002C3E6C">
        <w:rPr>
          <w:rFonts w:ascii="Times New Roman" w:eastAsia="Times New Roman" w:hAnsi="Times New Roman" w:cs="Times New Roman"/>
          <w:lang w:val="uk-UA" w:eastAsia="ru-RU"/>
        </w:rPr>
        <w:t xml:space="preserve"> (2000); </w:t>
      </w:r>
      <w:hyperlink r:id="rId10" w:history="1">
        <w:r w:rsidRPr="002C3E6C">
          <w:rPr>
            <w:rFonts w:ascii="Times New Roman" w:eastAsia="Times New Roman" w:hAnsi="Times New Roman" w:cs="Times New Roman"/>
            <w:lang w:eastAsia="ru-RU"/>
          </w:rPr>
          <w:t>Про свободу вираження поглядів та інформації</w:t>
        </w:r>
      </w:hyperlink>
      <w:r w:rsidRPr="002C3E6C">
        <w:rPr>
          <w:rFonts w:ascii="Times New Roman" w:eastAsia="Times New Roman" w:hAnsi="Times New Roman" w:cs="Times New Roman"/>
          <w:lang w:val="uk-UA" w:eastAsia="ru-RU"/>
        </w:rPr>
        <w:t xml:space="preserve"> (1982);</w:t>
      </w:r>
      <w:r w:rsidRPr="002C3E6C">
        <w:rPr>
          <w:rFonts w:ascii="Times New Roman" w:eastAsia="Times New Roman" w:hAnsi="Times New Roman" w:cs="Times New Roman"/>
          <w:lang w:eastAsia="ru-RU"/>
        </w:rPr>
        <w:t xml:space="preserve"> Загальна декларація прав людини</w:t>
      </w:r>
      <w:r w:rsidRPr="002C3E6C">
        <w:rPr>
          <w:rFonts w:ascii="Times New Roman" w:eastAsia="Times New Roman" w:hAnsi="Times New Roman" w:cs="Times New Roman"/>
          <w:lang w:val="uk-UA" w:eastAsia="ru-RU"/>
        </w:rPr>
        <w:t xml:space="preserve"> (1948).</w:t>
      </w:r>
    </w:p>
    <w:p w:rsidR="002C3E6C" w:rsidRPr="002C3E6C" w:rsidRDefault="002C3E6C" w:rsidP="002C3E6C">
      <w:pPr>
        <w:numPr>
          <w:ilvl w:val="0"/>
          <w:numId w:val="1"/>
        </w:numPr>
        <w:tabs>
          <w:tab w:val="clear" w:pos="360"/>
          <w:tab w:val="num" w:pos="540"/>
        </w:tabs>
        <w:spacing w:after="0" w:line="240" w:lineRule="auto"/>
        <w:ind w:left="54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Конвенція про захист прав людини і основоположних свобод (1950) – головний документ Ради Європи. Аналіз ст. 10 ЄКПЛ, її значення для вітчизняного законодавства.</w:t>
      </w:r>
    </w:p>
    <w:p w:rsidR="002C3E6C" w:rsidRPr="002C3E6C" w:rsidRDefault="002C3E6C" w:rsidP="002C3E6C">
      <w:pPr>
        <w:numPr>
          <w:ilvl w:val="0"/>
          <w:numId w:val="1"/>
        </w:numPr>
        <w:tabs>
          <w:tab w:val="clear" w:pos="360"/>
          <w:tab w:val="num" w:pos="540"/>
        </w:tabs>
        <w:spacing w:after="0" w:line="240" w:lineRule="auto"/>
        <w:ind w:left="54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Діяльність Європейського суду з прав людини: склад, структура, юрисдикція.</w:t>
      </w:r>
    </w:p>
    <w:p w:rsidR="002C3E6C" w:rsidRPr="002C3E6C" w:rsidRDefault="002C3E6C" w:rsidP="002C3E6C">
      <w:pPr>
        <w:numPr>
          <w:ilvl w:val="0"/>
          <w:numId w:val="1"/>
        </w:numPr>
        <w:tabs>
          <w:tab w:val="clear" w:pos="360"/>
          <w:tab w:val="num" w:pos="540"/>
        </w:tabs>
        <w:spacing w:after="0" w:line="240" w:lineRule="auto"/>
        <w:ind w:left="54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Рішення Європейського суду з прав людини щодо свободи вираження поглядів:</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“Українська Прес-Група” проти України”</w:t>
      </w:r>
      <w:r w:rsidRPr="002C3E6C">
        <w:rPr>
          <w:rFonts w:ascii="Times New Roman" w:eastAsia="Times New Roman" w:hAnsi="Times New Roman" w:cs="Times New Roman"/>
          <w:lang w:val="uk-UA" w:eastAsia="ru-RU"/>
        </w:rPr>
        <w:t xml:space="preserve"> (2005)</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Салов проти України (2005)</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Ляшко проти України (2006)</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Лінгенс проти Австрії (1996)</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Справа Прагер і Обершлік проти Австрії</w:t>
      </w:r>
      <w:r w:rsidRPr="002C3E6C">
        <w:rPr>
          <w:rFonts w:ascii="Times New Roman" w:eastAsia="Times New Roman" w:hAnsi="Times New Roman" w:cs="Times New Roman"/>
          <w:lang w:val="uk-UA" w:eastAsia="ru-RU"/>
        </w:rPr>
        <w:t xml:space="preserve"> (1995)</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Справа Алене де Рібемон проти Франції</w:t>
      </w:r>
      <w:r w:rsidRPr="002C3E6C">
        <w:rPr>
          <w:rFonts w:ascii="Times New Roman" w:eastAsia="Times New Roman" w:hAnsi="Times New Roman" w:cs="Times New Roman"/>
          <w:lang w:val="uk-UA" w:eastAsia="ru-RU"/>
        </w:rPr>
        <w:t>(1995)</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Справа Гудвін проти Великобританії</w:t>
      </w:r>
      <w:r w:rsidRPr="002C3E6C">
        <w:rPr>
          <w:rFonts w:ascii="Times New Roman" w:eastAsia="Times New Roman" w:hAnsi="Times New Roman" w:cs="Times New Roman"/>
          <w:lang w:val="uk-UA" w:eastAsia="ru-RU"/>
        </w:rPr>
        <w:t xml:space="preserve"> (1996)</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Справа Ромен і Шміт проти Люксембургу</w:t>
      </w:r>
      <w:r w:rsidRPr="002C3E6C">
        <w:rPr>
          <w:rFonts w:ascii="Times New Roman" w:eastAsia="Times New Roman" w:hAnsi="Times New Roman" w:cs="Times New Roman"/>
          <w:lang w:val="uk-UA" w:eastAsia="ru-RU"/>
        </w:rPr>
        <w:t xml:space="preserve"> (2003)</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Аміхалакіоае проти Молдови</w:t>
      </w:r>
      <w:r w:rsidRPr="002C3E6C">
        <w:rPr>
          <w:rFonts w:ascii="Times New Roman" w:eastAsia="Times New Roman" w:hAnsi="Times New Roman" w:cs="Times New Roman"/>
          <w:lang w:val="uk-UA" w:eastAsia="ru-RU"/>
        </w:rPr>
        <w:t xml:space="preserve"> (2004)</w:t>
      </w:r>
    </w:p>
    <w:p w:rsidR="002C3E6C" w:rsidRPr="002C3E6C" w:rsidRDefault="002C3E6C" w:rsidP="002C3E6C">
      <w:pPr>
        <w:numPr>
          <w:ilvl w:val="0"/>
          <w:numId w:val="3"/>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w:t>
      </w:r>
      <w:r w:rsidRPr="002C3E6C">
        <w:rPr>
          <w:rFonts w:ascii="Times New Roman" w:eastAsia="Times New Roman" w:hAnsi="Times New Roman" w:cs="Times New Roman"/>
          <w:lang w:val="uk-UA" w:eastAsia="ru-RU"/>
        </w:rPr>
        <w:t>права Хужин та інші проти Росії (2008)</w:t>
      </w:r>
    </w:p>
    <w:p w:rsidR="002C3E6C" w:rsidRPr="002C3E6C" w:rsidRDefault="002C3E6C" w:rsidP="002C3E6C">
      <w:pPr>
        <w:spacing w:after="0" w:line="240" w:lineRule="auto"/>
        <w:jc w:val="both"/>
        <w:rPr>
          <w:rFonts w:ascii="Times New Roman" w:eastAsia="Times New Roman" w:hAnsi="Times New Roman" w:cs="Times New Roman"/>
          <w:i/>
          <w:lang w:val="uk-UA" w:eastAsia="ru-RU"/>
        </w:rPr>
      </w:pPr>
    </w:p>
    <w:p w:rsidR="002C3E6C" w:rsidRPr="002C3E6C" w:rsidRDefault="002C3E6C" w:rsidP="002C3E6C">
      <w:pPr>
        <w:spacing w:after="0" w:line="240" w:lineRule="auto"/>
        <w:ind w:firstLine="540"/>
        <w:jc w:val="both"/>
        <w:rPr>
          <w:rFonts w:ascii="Times New Roman" w:eastAsia="Times New Roman" w:hAnsi="Times New Roman" w:cs="Times New Roman"/>
          <w:i/>
          <w:lang w:val="uk-UA" w:eastAsia="ru-RU"/>
        </w:rPr>
      </w:pPr>
      <w:r w:rsidRPr="002C3E6C">
        <w:rPr>
          <w:rFonts w:ascii="Times New Roman" w:eastAsia="Times New Roman" w:hAnsi="Times New Roman" w:cs="Times New Roman"/>
          <w:i/>
          <w:lang w:val="uk-UA" w:eastAsia="ru-RU"/>
        </w:rPr>
        <w:t>Основні терміни і поняття: громадянське суспільство, декларація, дискримінація, дифамація, конвенція,</w:t>
      </w:r>
      <w:r w:rsidRPr="002C3E6C">
        <w:rPr>
          <w:rFonts w:ascii="Times New Roman" w:eastAsia="Times New Roman" w:hAnsi="Times New Roman" w:cs="Times New Roman"/>
          <w:lang w:val="uk-UA" w:eastAsia="ru-RU"/>
        </w:rPr>
        <w:t xml:space="preserve"> </w:t>
      </w:r>
      <w:hyperlink r:id="rId11" w:history="1">
        <w:r w:rsidRPr="002C3E6C">
          <w:rPr>
            <w:rFonts w:ascii="Times New Roman" w:eastAsia="Times New Roman" w:hAnsi="Times New Roman" w:cs="Times New Roman"/>
            <w:i/>
            <w:lang w:val="uk-UA" w:eastAsia="ru-RU"/>
          </w:rPr>
          <w:t>омбудсмен</w:t>
        </w:r>
      </w:hyperlink>
      <w:r w:rsidRPr="002C3E6C">
        <w:rPr>
          <w:rFonts w:ascii="Times New Roman" w:eastAsia="Times New Roman" w:hAnsi="Times New Roman" w:cs="Times New Roman"/>
          <w:i/>
          <w:lang w:val="uk-UA" w:eastAsia="ru-RU"/>
        </w:rPr>
        <w:t>, права та свободи людини й громадянина, ратифікація, свобода слова, свобода преси, свобода совісті.</w:t>
      </w:r>
    </w:p>
    <w:p w:rsidR="002C3E6C" w:rsidRPr="002C3E6C" w:rsidRDefault="002C3E6C" w:rsidP="002C3E6C">
      <w:pPr>
        <w:spacing w:after="0" w:line="240" w:lineRule="auto"/>
        <w:ind w:firstLine="720"/>
        <w:jc w:val="both"/>
        <w:rPr>
          <w:rFonts w:ascii="Times New Roman" w:eastAsia="Times New Roman" w:hAnsi="Times New Roman" w:cs="Times New Roman"/>
          <w:b/>
          <w:lang w:val="uk-UA" w:eastAsia="ru-RU"/>
        </w:rPr>
      </w:pPr>
    </w:p>
    <w:p w:rsidR="002C3E6C" w:rsidRPr="002C3E6C" w:rsidRDefault="002C3E6C" w:rsidP="002C3E6C">
      <w:pPr>
        <w:spacing w:after="0" w:line="240" w:lineRule="auto"/>
        <w:ind w:firstLine="720"/>
        <w:jc w:val="both"/>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Самостійна робота:</w:t>
      </w:r>
    </w:p>
    <w:p w:rsidR="002C3E6C" w:rsidRPr="002C3E6C" w:rsidRDefault="002C3E6C" w:rsidP="002C3E6C">
      <w:pPr>
        <w:numPr>
          <w:ilvl w:val="0"/>
          <w:numId w:val="2"/>
        </w:numPr>
        <w:tabs>
          <w:tab w:val="num" w:pos="0"/>
        </w:tabs>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На сайті Міністерства юстиції України (</w:t>
      </w:r>
      <w:hyperlink r:id="rId12" w:history="1">
        <w:r w:rsidRPr="002C3E6C">
          <w:rPr>
            <w:rFonts w:ascii="Times New Roman" w:eastAsia="Times New Roman" w:hAnsi="Times New Roman" w:cs="Times New Roman"/>
            <w:lang w:val="uk-UA" w:eastAsia="ru-RU"/>
          </w:rPr>
          <w:t>http://www.minjust.gov.ua</w:t>
        </w:r>
      </w:hyperlink>
      <w:r w:rsidRPr="002C3E6C">
        <w:rPr>
          <w:rFonts w:ascii="Times New Roman" w:eastAsia="Times New Roman" w:hAnsi="Times New Roman" w:cs="Times New Roman"/>
          <w:lang w:val="uk-UA" w:eastAsia="ru-RU"/>
        </w:rPr>
        <w:t>) розгляньте порядок звернення громадян до Європейського суду з прав людини.</w:t>
      </w:r>
    </w:p>
    <w:p w:rsidR="002C3E6C" w:rsidRPr="002C3E6C" w:rsidRDefault="002C3E6C" w:rsidP="002C3E6C">
      <w:pPr>
        <w:spacing w:after="0" w:line="240" w:lineRule="auto"/>
        <w:ind w:firstLine="720"/>
        <w:jc w:val="both"/>
        <w:rPr>
          <w:rFonts w:ascii="Times New Roman" w:eastAsia="Times New Roman" w:hAnsi="Times New Roman" w:cs="Times New Roman"/>
          <w:b/>
          <w:lang w:val="uk-UA" w:eastAsia="ru-RU"/>
        </w:rPr>
      </w:pP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b/>
          <w:lang w:val="uk-UA" w:eastAsia="ru-RU"/>
        </w:rPr>
        <w:t>Питання для самоконтролю:</w:t>
      </w:r>
    </w:p>
    <w:p w:rsidR="002C3E6C" w:rsidRPr="002C3E6C" w:rsidRDefault="002C3E6C" w:rsidP="002C3E6C">
      <w:pPr>
        <w:numPr>
          <w:ilvl w:val="1"/>
          <w:numId w:val="2"/>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Назвіть основні міжнародні документи, що стали частиною інформаційного законодавства України.</w:t>
      </w:r>
    </w:p>
    <w:p w:rsidR="002C3E6C" w:rsidRPr="002C3E6C" w:rsidRDefault="002C3E6C" w:rsidP="002C3E6C">
      <w:pPr>
        <w:numPr>
          <w:ilvl w:val="1"/>
          <w:numId w:val="2"/>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 xml:space="preserve">Дайте визначення поняття </w:t>
      </w:r>
      <w:r w:rsidRPr="002C3E6C">
        <w:rPr>
          <w:rFonts w:ascii="Times New Roman" w:eastAsia="Times New Roman" w:hAnsi="Times New Roman" w:cs="Times New Roman"/>
          <w:i/>
          <w:lang w:val="uk-UA" w:eastAsia="ru-RU"/>
        </w:rPr>
        <w:t>права та свободи людини й громадянина.</w:t>
      </w:r>
    </w:p>
    <w:p w:rsidR="002C3E6C" w:rsidRPr="002C3E6C" w:rsidRDefault="002C3E6C" w:rsidP="002C3E6C">
      <w:pPr>
        <w:numPr>
          <w:ilvl w:val="1"/>
          <w:numId w:val="2"/>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Охарактеризуйте діяльність Європейського суду з прав людини.</w:t>
      </w:r>
    </w:p>
    <w:p w:rsidR="002C3E6C" w:rsidRPr="002C3E6C" w:rsidRDefault="002C3E6C" w:rsidP="002C3E6C">
      <w:pPr>
        <w:numPr>
          <w:ilvl w:val="1"/>
          <w:numId w:val="2"/>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Дайте визначення міжнародно-правових гарантій в інформаційній сфері та охарактеризуйте їх види.</w:t>
      </w:r>
    </w:p>
    <w:p w:rsidR="002C3E6C" w:rsidRPr="002C3E6C" w:rsidRDefault="002C3E6C" w:rsidP="002C3E6C">
      <w:pPr>
        <w:numPr>
          <w:ilvl w:val="1"/>
          <w:numId w:val="2"/>
        </w:numPr>
        <w:spacing w:after="0" w:line="240" w:lineRule="auto"/>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Розкрийте специфіку рішень Європейського суду з прав людини щодо свободи вираження поглядів.</w:t>
      </w:r>
    </w:p>
    <w:p w:rsidR="002C3E6C" w:rsidRPr="002C3E6C" w:rsidRDefault="002C3E6C" w:rsidP="002C3E6C">
      <w:pPr>
        <w:spacing w:after="0" w:line="240" w:lineRule="auto"/>
        <w:ind w:firstLine="720"/>
        <w:jc w:val="center"/>
        <w:rPr>
          <w:rFonts w:ascii="Times New Roman" w:eastAsia="Times New Roman" w:hAnsi="Times New Roman" w:cs="Times New Roman"/>
          <w:b/>
          <w:lang w:val="uk-UA" w:eastAsia="ru-RU"/>
        </w:rPr>
      </w:pPr>
    </w:p>
    <w:p w:rsidR="002C3E6C" w:rsidRPr="002C3E6C" w:rsidRDefault="002C3E6C" w:rsidP="002C3E6C">
      <w:pPr>
        <w:spacing w:after="0" w:line="240" w:lineRule="auto"/>
        <w:ind w:firstLine="720"/>
        <w:jc w:val="center"/>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Методичні рекомендації</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У процесі підготовки до практичного заняття студентам необхідно взяти до уваги наступну інформацію:</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 xml:space="preserve">Україна зі вступом до </w:t>
      </w:r>
      <w:proofErr w:type="gramStart"/>
      <w:r w:rsidRPr="002C3E6C">
        <w:rPr>
          <w:rFonts w:ascii="Times New Roman" w:eastAsia="Times New Roman" w:hAnsi="Times New Roman" w:cs="Times New Roman"/>
          <w:lang w:eastAsia="ru-RU"/>
        </w:rPr>
        <w:t>Ради</w:t>
      </w:r>
      <w:proofErr w:type="gramEnd"/>
      <w:r w:rsidRPr="002C3E6C">
        <w:rPr>
          <w:rFonts w:ascii="Times New Roman" w:eastAsia="Times New Roman" w:hAnsi="Times New Roman" w:cs="Times New Roman"/>
          <w:lang w:eastAsia="ru-RU"/>
        </w:rPr>
        <w:t xml:space="preserve"> Європи 9 листопада 1995 року, ставши повноправним її членом, підписала Конвенцію про захист прав </w:t>
      </w:r>
      <w:r w:rsidRPr="002C3E6C">
        <w:rPr>
          <w:rFonts w:ascii="Times New Roman" w:eastAsia="Times New Roman" w:hAnsi="Times New Roman" w:cs="Times New Roman"/>
          <w:lang w:val="uk-UA" w:eastAsia="ru-RU"/>
        </w:rPr>
        <w:t xml:space="preserve">людини </w:t>
      </w:r>
      <w:r w:rsidRPr="002C3E6C">
        <w:rPr>
          <w:rFonts w:ascii="Times New Roman" w:eastAsia="Times New Roman" w:hAnsi="Times New Roman" w:cs="Times New Roman"/>
          <w:lang w:eastAsia="ru-RU"/>
        </w:rPr>
        <w:t>та основ</w:t>
      </w:r>
      <w:r w:rsidRPr="002C3E6C">
        <w:rPr>
          <w:rFonts w:ascii="Times New Roman" w:eastAsia="Times New Roman" w:hAnsi="Times New Roman" w:cs="Times New Roman"/>
          <w:lang w:val="uk-UA" w:eastAsia="ru-RU"/>
        </w:rPr>
        <w:t>оположних</w:t>
      </w:r>
      <w:r w:rsidRPr="002C3E6C">
        <w:rPr>
          <w:rFonts w:ascii="Times New Roman" w:eastAsia="Times New Roman" w:hAnsi="Times New Roman" w:cs="Times New Roman"/>
          <w:lang w:eastAsia="ru-RU"/>
        </w:rPr>
        <w:t xml:space="preserve"> свобод. З набуттям чинності для України Конвенції після її ратифікації Верховною Радою 17 липня 1997 року наша держава визнала для себе обов'язковою юрисдикцію Європейського Суду з прав людини. В Україні було запроваджено механізм гармонізації правової системи нашої держави з нормами й стандартами </w:t>
      </w:r>
      <w:proofErr w:type="gramStart"/>
      <w:r w:rsidRPr="002C3E6C">
        <w:rPr>
          <w:rFonts w:ascii="Times New Roman" w:eastAsia="Times New Roman" w:hAnsi="Times New Roman" w:cs="Times New Roman"/>
          <w:lang w:eastAsia="ru-RU"/>
        </w:rPr>
        <w:t>Ради</w:t>
      </w:r>
      <w:proofErr w:type="gramEnd"/>
      <w:r w:rsidRPr="002C3E6C">
        <w:rPr>
          <w:rFonts w:ascii="Times New Roman" w:eastAsia="Times New Roman" w:hAnsi="Times New Roman" w:cs="Times New Roman"/>
          <w:lang w:eastAsia="ru-RU"/>
        </w:rPr>
        <w:t xml:space="preserve"> Європи. Наближення національної системи захисту прав людини до загальноєвропейської практики надало всім, хто перебуває під юрисдикцією України, право на звернення до Європейського Суду у випадку порушення нашою державою, її органами, посадовими особами норм Конвенції, положення якої визнані обов'язковими на території України. Це право передбачено ст. 55 Конституції нашої держави, яка надає можливість звернення за захистом своїх порушених </w:t>
      </w:r>
      <w:r w:rsidRPr="002C3E6C">
        <w:rPr>
          <w:rFonts w:ascii="Times New Roman" w:eastAsia="Times New Roman" w:hAnsi="Times New Roman" w:cs="Times New Roman"/>
          <w:lang w:eastAsia="ru-RU"/>
        </w:rPr>
        <w:lastRenderedPageBreak/>
        <w:t>прав до судових установ міжнародних організацій після використання особою національних засобів захисту</w:t>
      </w:r>
      <w:r w:rsidRPr="002C3E6C">
        <w:rPr>
          <w:rFonts w:ascii="Times New Roman" w:eastAsia="Times New Roman" w:hAnsi="Times New Roman" w:cs="Times New Roman"/>
          <w:lang w:val="uk-UA" w:eastAsia="ru-RU"/>
        </w:rPr>
        <w:t>.</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Європейський Суд з прав людини функціонує на постійній основі з метою забезпечення виконання Високими Договірними Сторонами зобов'язань за Конвенцією. Його юрисдикція визнана обов'язковою всіма державами-учасницями й поширюється на всі спори, що пов'язані із застосуванням і тлумаченням норм Конвенції та Протоколів до неї в національних правових системах.</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Місцезнаходженням Європейського Суду є м. Страсбург (Франція). Засідання Суду проводяться в Палаці Прав Людини. Організація його діяльності, правила процедури, порядок здійснення реєстрації заяв, їх розгляду, винесення рішень встановлені Конвенцією та Регламентом Суду.</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 xml:space="preserve">До складу Європейського Суду входять незалежні судді, обрані Парламентською Асамблеєю Ради Європи від кожної держави (на сьогодні їх число – 41, що відповідає кількості країн-учасниць). </w:t>
      </w:r>
      <w:r w:rsidRPr="002C3E6C">
        <w:rPr>
          <w:rFonts w:ascii="Times New Roman" w:eastAsia="Times New Roman" w:hAnsi="Times New Roman" w:cs="Times New Roman"/>
          <w:lang w:eastAsia="ru-RU"/>
        </w:rPr>
        <w:t>Проте вони не є офіційними представниками своїх країн, а виступають незалежно і від власного імені. Суддями обираються визнані фахівці в галузі права, що мають високі моральні якості та кваліфікацію, строком на 6 років. Члени Суду не мають права займатися діяльністю, що не сумісна з їхнім високим званням, принципами нейтральності та незалежності суд</w:t>
      </w:r>
      <w:r w:rsidRPr="002C3E6C">
        <w:rPr>
          <w:rFonts w:ascii="Times New Roman" w:eastAsia="Times New Roman" w:hAnsi="Times New Roman" w:cs="Times New Roman"/>
          <w:lang w:val="uk-UA" w:eastAsia="ru-RU"/>
        </w:rPr>
        <w:t>д</w:t>
      </w:r>
      <w:r w:rsidRPr="002C3E6C">
        <w:rPr>
          <w:rFonts w:ascii="Times New Roman" w:eastAsia="Times New Roman" w:hAnsi="Times New Roman" w:cs="Times New Roman"/>
          <w:lang w:eastAsia="ru-RU"/>
        </w:rPr>
        <w:t>ів. Можливість обіймати посаду судді обмежена 70-річним віком.</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Суд виносить свої рішення, керуючись нормами Конвенції і практикою застосування своїх попередніх рішень. Це означає, що в Європейському Суді, на відміну від української кодифікованої системи законодавства, діє прецендентна система</w:t>
      </w:r>
      <w:r w:rsidRPr="002C3E6C">
        <w:rPr>
          <w:rFonts w:ascii="Times New Roman" w:eastAsia="Times New Roman" w:hAnsi="Times New Roman" w:cs="Times New Roman"/>
          <w:lang w:val="uk-UA" w:eastAsia="ru-RU"/>
        </w:rPr>
        <w:t>.</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Рішення Суду є обов'язковими для держав-учасниць Конвенції. Контроль за їх виконанням паралельно з Судом здійснює Комітет Міністрів Ради Європи. Крім того, на запит Комітету Міністрів Суд надає консультативні висновки з питань права щодо тлумачення і застосування норм Конвенції.</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fr-FR" w:eastAsia="ru-RU"/>
        </w:rPr>
        <w:t>Практика Європейського суду свідчить, що кількість порушень прав людини в Україні складає лише трохи більше 1 відсотка від загальної кількості порушень прав людини, зафіксованих Євросудом в інших європейських країнах.</w:t>
      </w:r>
    </w:p>
    <w:p w:rsidR="002C3E6C" w:rsidRPr="002C3E6C" w:rsidRDefault="002C3E6C" w:rsidP="002C3E6C">
      <w:pPr>
        <w:spacing w:after="0" w:line="240" w:lineRule="auto"/>
        <w:ind w:firstLine="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 xml:space="preserve">За даними Міністерства юстиції України (станом на березень 2011 р.), </w:t>
      </w:r>
      <w:r w:rsidRPr="002C3E6C">
        <w:rPr>
          <w:rFonts w:ascii="Times New Roman" w:eastAsia="Times New Roman" w:hAnsi="Times New Roman" w:cs="Times New Roman"/>
          <w:lang w:val="fr-FR" w:eastAsia="ru-RU"/>
        </w:rPr>
        <w:t xml:space="preserve">починаючи </w:t>
      </w:r>
      <w:r w:rsidRPr="002C3E6C">
        <w:rPr>
          <w:rFonts w:ascii="Times New Roman" w:eastAsia="Times New Roman" w:hAnsi="Times New Roman" w:cs="Times New Roman"/>
          <w:lang w:val="uk-UA" w:eastAsia="ru-RU"/>
        </w:rPr>
        <w:t xml:space="preserve">з </w:t>
      </w:r>
      <w:r w:rsidRPr="002C3E6C">
        <w:rPr>
          <w:rFonts w:ascii="Times New Roman" w:eastAsia="Times New Roman" w:hAnsi="Times New Roman" w:cs="Times New Roman"/>
          <w:lang w:val="fr-FR" w:eastAsia="ru-RU"/>
        </w:rPr>
        <w:t>2001 року, Європейський суд</w:t>
      </w:r>
      <w:r w:rsidRPr="002C3E6C">
        <w:rPr>
          <w:rFonts w:ascii="Times New Roman" w:eastAsia="Times New Roman" w:hAnsi="Times New Roman" w:cs="Times New Roman"/>
          <w:lang w:val="uk-UA" w:eastAsia="ru-RU"/>
        </w:rPr>
        <w:t xml:space="preserve"> з прав людини</w:t>
      </w:r>
      <w:r w:rsidRPr="002C3E6C">
        <w:rPr>
          <w:rFonts w:ascii="Times New Roman" w:eastAsia="Times New Roman" w:hAnsi="Times New Roman" w:cs="Times New Roman"/>
          <w:lang w:val="fr-FR" w:eastAsia="ru-RU"/>
        </w:rPr>
        <w:t xml:space="preserve"> визна</w:t>
      </w:r>
      <w:r w:rsidRPr="002C3E6C">
        <w:rPr>
          <w:rFonts w:ascii="Times New Roman" w:eastAsia="Times New Roman" w:hAnsi="Times New Roman" w:cs="Times New Roman"/>
          <w:lang w:val="uk-UA" w:eastAsia="ru-RU"/>
        </w:rPr>
        <w:t>в</w:t>
      </w:r>
      <w:r w:rsidRPr="002C3E6C">
        <w:rPr>
          <w:rFonts w:ascii="Times New Roman" w:eastAsia="Times New Roman" w:hAnsi="Times New Roman" w:cs="Times New Roman"/>
          <w:lang w:val="fr-FR" w:eastAsia="ru-RU"/>
        </w:rPr>
        <w:t xml:space="preserve"> порушення Україною </w:t>
      </w:r>
      <w:r w:rsidRPr="002C3E6C">
        <w:rPr>
          <w:rFonts w:ascii="Times New Roman" w:eastAsia="Times New Roman" w:hAnsi="Times New Roman" w:cs="Times New Roman"/>
          <w:lang w:val="uk-UA" w:eastAsia="ru-RU"/>
        </w:rPr>
        <w:t>10</w:t>
      </w:r>
      <w:r w:rsidRPr="002C3E6C">
        <w:rPr>
          <w:rFonts w:ascii="Times New Roman" w:eastAsia="Times New Roman" w:hAnsi="Times New Roman" w:cs="Times New Roman"/>
          <w:lang w:val="fr-FR" w:eastAsia="ru-RU"/>
        </w:rPr>
        <w:t xml:space="preserve"> статей Конвенції та </w:t>
      </w:r>
      <w:r w:rsidRPr="002C3E6C">
        <w:rPr>
          <w:rFonts w:ascii="Times New Roman" w:eastAsia="Times New Roman" w:hAnsi="Times New Roman" w:cs="Times New Roman"/>
          <w:lang w:val="uk-UA" w:eastAsia="ru-RU"/>
        </w:rPr>
        <w:t>4</w:t>
      </w:r>
      <w:r w:rsidRPr="002C3E6C">
        <w:rPr>
          <w:rFonts w:ascii="Times New Roman" w:eastAsia="Times New Roman" w:hAnsi="Times New Roman" w:cs="Times New Roman"/>
          <w:lang w:val="fr-FR" w:eastAsia="ru-RU"/>
        </w:rPr>
        <w:t xml:space="preserve"> протоколів до неї</w:t>
      </w:r>
      <w:r w:rsidRPr="002C3E6C">
        <w:rPr>
          <w:rFonts w:ascii="Times New Roman" w:eastAsia="Times New Roman" w:hAnsi="Times New Roman" w:cs="Times New Roman"/>
          <w:lang w:val="uk-UA" w:eastAsia="ru-RU"/>
        </w:rPr>
        <w:t xml:space="preserve">: </w:t>
      </w:r>
      <w:hyperlink r:id="rId13"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2 “Право на життя”</w:t>
        </w:r>
      </w:hyperlink>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6 рішень</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14"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3 “Заборона катування”</w:t>
        </w:r>
      </w:hyperlink>
      <w:r w:rsidRPr="002C3E6C">
        <w:rPr>
          <w:rFonts w:ascii="Times New Roman" w:eastAsia="Times New Roman" w:hAnsi="Times New Roman" w:cs="Times New Roman"/>
          <w:b/>
          <w:lang w:val="uk-UA" w:eastAsia="ru-RU"/>
        </w:rPr>
        <w:t xml:space="preserve"> </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н</w:t>
      </w:r>
      <w:r w:rsidRPr="002C3E6C">
        <w:rPr>
          <w:rFonts w:ascii="Times New Roman" w:eastAsia="Times New Roman" w:hAnsi="Times New Roman" w:cs="Times New Roman"/>
          <w:lang w:eastAsia="ru-RU"/>
        </w:rPr>
        <w:t>еналежне поводженням з боку представників держави та відсутність ефективного розслідування</w:t>
      </w:r>
      <w:r w:rsidRPr="002C3E6C">
        <w:rPr>
          <w:rFonts w:ascii="Times New Roman" w:eastAsia="Times New Roman" w:hAnsi="Times New Roman" w:cs="Times New Roman"/>
          <w:lang w:val="uk-UA" w:eastAsia="ru-RU"/>
        </w:rPr>
        <w:t xml:space="preserve"> – 10 рішень; неналежні умови тримання під вартою – 10 рішень; н</w:t>
      </w:r>
      <w:r w:rsidRPr="002C3E6C">
        <w:rPr>
          <w:rFonts w:ascii="Times New Roman" w:eastAsia="Times New Roman" w:hAnsi="Times New Roman" w:cs="Times New Roman"/>
          <w:lang w:eastAsia="ru-RU"/>
        </w:rPr>
        <w:t>езабезпечення своєчасної та належної медичної допомоги</w:t>
      </w:r>
      <w:r w:rsidRPr="002C3E6C">
        <w:rPr>
          <w:rFonts w:ascii="Times New Roman" w:eastAsia="Times New Roman" w:hAnsi="Times New Roman" w:cs="Times New Roman"/>
          <w:lang w:val="uk-UA" w:eastAsia="ru-RU"/>
        </w:rPr>
        <w:t xml:space="preserve"> – 2 рішення; щ</w:t>
      </w:r>
      <w:r w:rsidRPr="002C3E6C">
        <w:rPr>
          <w:rFonts w:ascii="Times New Roman" w:eastAsia="Times New Roman" w:hAnsi="Times New Roman" w:cs="Times New Roman"/>
          <w:lang w:eastAsia="ru-RU"/>
        </w:rPr>
        <w:t>одо видачі особи (екстрадиція)</w:t>
      </w:r>
      <w:r w:rsidRPr="002C3E6C">
        <w:rPr>
          <w:rFonts w:ascii="Times New Roman" w:eastAsia="Times New Roman" w:hAnsi="Times New Roman" w:cs="Times New Roman"/>
          <w:lang w:val="uk-UA" w:eastAsia="ru-RU"/>
        </w:rPr>
        <w:t xml:space="preserve"> – 1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15"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5 “Право на свободу та особисту недоторканість”</w:t>
        </w:r>
      </w:hyperlink>
      <w:r w:rsidRPr="002C3E6C">
        <w:rPr>
          <w:rFonts w:ascii="Times New Roman" w:eastAsia="Times New Roman" w:hAnsi="Times New Roman" w:cs="Times New Roman"/>
          <w:b/>
          <w:lang w:val="uk-UA" w:eastAsia="ru-RU"/>
        </w:rPr>
        <w:t xml:space="preserve"> </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14 рішень</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16"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6 “Право на справедливий суд”</w:t>
        </w:r>
      </w:hyperlink>
      <w:r w:rsidRPr="002C3E6C">
        <w:rPr>
          <w:rFonts w:ascii="Times New Roman" w:eastAsia="Times New Roman" w:hAnsi="Times New Roman" w:cs="Times New Roman"/>
          <w:b/>
          <w:lang w:eastAsia="ru-RU"/>
        </w:rPr>
        <w:t xml:space="preserve"> </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п</w:t>
      </w:r>
      <w:r w:rsidRPr="002C3E6C">
        <w:rPr>
          <w:rFonts w:ascii="Times New Roman" w:eastAsia="Times New Roman" w:hAnsi="Times New Roman" w:cs="Times New Roman"/>
          <w:lang w:eastAsia="ru-RU"/>
        </w:rPr>
        <w:t xml:space="preserve">раво на виконання рішення суду протягом розумного строку </w:t>
      </w:r>
      <w:r w:rsidRPr="002C3E6C">
        <w:rPr>
          <w:rFonts w:ascii="Times New Roman" w:eastAsia="Times New Roman" w:hAnsi="Times New Roman" w:cs="Times New Roman"/>
          <w:lang w:val="uk-UA" w:eastAsia="ru-RU"/>
        </w:rPr>
        <w:t>– 228 рішень; право</w:t>
      </w:r>
      <w:r w:rsidRPr="002C3E6C">
        <w:rPr>
          <w:rFonts w:ascii="Times New Roman" w:eastAsia="Times New Roman" w:hAnsi="Times New Roman" w:cs="Times New Roman"/>
          <w:lang w:eastAsia="ru-RU"/>
        </w:rPr>
        <w:t xml:space="preserve"> на досудове слідство та судовий розгляд протягом розумного строку </w:t>
      </w:r>
      <w:r w:rsidRPr="002C3E6C">
        <w:rPr>
          <w:rFonts w:ascii="Times New Roman" w:eastAsia="Times New Roman" w:hAnsi="Times New Roman" w:cs="Times New Roman"/>
          <w:lang w:val="uk-UA" w:eastAsia="ru-RU"/>
        </w:rPr>
        <w:t>– 84 рішення; п</w:t>
      </w:r>
      <w:r w:rsidRPr="002C3E6C">
        <w:rPr>
          <w:rFonts w:ascii="Times New Roman" w:eastAsia="Times New Roman" w:hAnsi="Times New Roman" w:cs="Times New Roman"/>
          <w:lang w:eastAsia="ru-RU"/>
        </w:rPr>
        <w:t>раво на справедливий судовий розгляд</w:t>
      </w:r>
      <w:r w:rsidRPr="002C3E6C">
        <w:rPr>
          <w:rFonts w:ascii="Times New Roman" w:eastAsia="Times New Roman" w:hAnsi="Times New Roman" w:cs="Times New Roman"/>
          <w:lang w:val="uk-UA" w:eastAsia="ru-RU"/>
        </w:rPr>
        <w:t xml:space="preserve"> – 7 рішень; п</w:t>
      </w:r>
      <w:r w:rsidRPr="002C3E6C">
        <w:rPr>
          <w:rFonts w:ascii="Times New Roman" w:eastAsia="Times New Roman" w:hAnsi="Times New Roman" w:cs="Times New Roman"/>
          <w:lang w:eastAsia="ru-RU"/>
        </w:rPr>
        <w:t xml:space="preserve">раво на безсторонній та незалежний суд </w:t>
      </w:r>
      <w:r w:rsidRPr="002C3E6C">
        <w:rPr>
          <w:rFonts w:ascii="Times New Roman" w:eastAsia="Times New Roman" w:hAnsi="Times New Roman" w:cs="Times New Roman"/>
          <w:lang w:val="uk-UA" w:eastAsia="ru-RU"/>
        </w:rPr>
        <w:t>– 6 рішень; п</w:t>
      </w:r>
      <w:r w:rsidRPr="002C3E6C">
        <w:rPr>
          <w:rFonts w:ascii="Times New Roman" w:eastAsia="Times New Roman" w:hAnsi="Times New Roman" w:cs="Times New Roman"/>
          <w:lang w:eastAsia="ru-RU"/>
        </w:rPr>
        <w:t>резумпція невинуватості</w:t>
      </w:r>
      <w:r w:rsidRPr="002C3E6C">
        <w:rPr>
          <w:rFonts w:ascii="Times New Roman" w:eastAsia="Times New Roman" w:hAnsi="Times New Roman" w:cs="Times New Roman"/>
          <w:lang w:val="uk-UA" w:eastAsia="ru-RU"/>
        </w:rPr>
        <w:t xml:space="preserve"> – 2 рішення; с</w:t>
      </w:r>
      <w:r w:rsidRPr="002C3E6C">
        <w:rPr>
          <w:rFonts w:ascii="Times New Roman" w:eastAsia="Times New Roman" w:hAnsi="Times New Roman" w:cs="Times New Roman"/>
          <w:lang w:eastAsia="ru-RU"/>
        </w:rPr>
        <w:t xml:space="preserve">прави, що стосуються перегляду (скасування) остаточного судового рішення </w:t>
      </w:r>
      <w:r w:rsidRPr="002C3E6C">
        <w:rPr>
          <w:rFonts w:ascii="Times New Roman" w:eastAsia="Times New Roman" w:hAnsi="Times New Roman" w:cs="Times New Roman"/>
          <w:lang w:val="uk-UA" w:eastAsia="ru-RU"/>
        </w:rPr>
        <w:t>– 12 рішень);</w:t>
      </w:r>
      <w:r w:rsidRPr="002C3E6C">
        <w:rPr>
          <w:rFonts w:ascii="Times New Roman" w:eastAsia="Times New Roman" w:hAnsi="Times New Roman" w:cs="Times New Roman"/>
          <w:lang w:eastAsia="ru-RU"/>
        </w:rPr>
        <w:t xml:space="preserve"> </w:t>
      </w:r>
      <w:hyperlink r:id="rId17" w:history="1">
        <w:r w:rsidRPr="002C3E6C">
          <w:rPr>
            <w:rFonts w:ascii="Times New Roman" w:eastAsia="Times New Roman" w:hAnsi="Times New Roman" w:cs="Times New Roman"/>
            <w:b/>
            <w:lang w:val="uk-UA" w:eastAsia="ru-RU"/>
          </w:rPr>
          <w:t>с</w:t>
        </w:r>
        <w:r w:rsidRPr="002C3E6C">
          <w:rPr>
            <w:rFonts w:ascii="Times New Roman" w:eastAsia="Times New Roman" w:hAnsi="Times New Roman" w:cs="Times New Roman"/>
            <w:b/>
            <w:lang w:eastAsia="ru-RU"/>
          </w:rPr>
          <w:t>т 8 “Право на повагу до приватного і сімейного життя”</w:t>
        </w:r>
      </w:hyperlink>
      <w:r w:rsidRPr="002C3E6C">
        <w:rPr>
          <w:rFonts w:ascii="Times New Roman" w:eastAsia="Times New Roman" w:hAnsi="Times New Roman" w:cs="Times New Roman"/>
          <w:b/>
          <w:lang w:val="uk-UA" w:eastAsia="ru-RU"/>
        </w:rPr>
        <w:t xml:space="preserve"> </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13 рішень</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18"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9 “Свобода думки, совісті і релігії</w:t>
        </w:r>
      </w:hyperlink>
      <w:r w:rsidRPr="002C3E6C">
        <w:rPr>
          <w:rFonts w:ascii="Times New Roman" w:eastAsia="Times New Roman" w:hAnsi="Times New Roman" w:cs="Times New Roman"/>
          <w:b/>
          <w:lang w:eastAsia="ru-RU"/>
        </w:rPr>
        <w:t>”</w:t>
      </w:r>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3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19"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10 “Свобода вираження поглядів”</w:t>
        </w:r>
      </w:hyperlink>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3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0"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11 “Свобода зібрань та об’єднань”</w:t>
        </w:r>
      </w:hyperlink>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1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1"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13 “Право на ефективний засіб юридичного захисту”</w:t>
        </w:r>
      </w:hyperlink>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49 рішень</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2"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34 “Індивідуальні заяви”</w:t>
        </w:r>
      </w:hyperlink>
      <w:r w:rsidRPr="002C3E6C">
        <w:rPr>
          <w:rFonts w:ascii="Times New Roman" w:eastAsia="Times New Roman" w:hAnsi="Times New Roman" w:cs="Times New Roman"/>
          <w:b/>
          <w:lang w:eastAsia="ru-RU"/>
        </w:rPr>
        <w:t xml:space="preserve"> </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1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 xml:space="preserve">; </w:t>
      </w:r>
      <w:hyperlink r:id="rId23"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1 Першого протоколу “Захист власності”</w:t>
        </w:r>
      </w:hyperlink>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72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4"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3 Першого протоколу “Право на вільні вибори”</w:t>
        </w:r>
      </w:hyperlink>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2 рішення</w:t>
      </w:r>
      <w:r w:rsidRPr="002C3E6C">
        <w:rPr>
          <w:rFonts w:ascii="Times New Roman" w:eastAsia="Times New Roman" w:hAnsi="Times New Roman" w:cs="Times New Roman"/>
          <w:lang w:eastAsia="ru-RU"/>
        </w:rPr>
        <w:t>)</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5"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2 Протоколу № 7 “Право на оскарження у кримінальних справах”</w:t>
        </w:r>
        <w:r w:rsidRPr="002C3E6C">
          <w:rPr>
            <w:rFonts w:ascii="Times New Roman" w:eastAsia="Times New Roman" w:hAnsi="Times New Roman" w:cs="Times New Roman"/>
            <w:lang w:eastAsia="ru-RU"/>
          </w:rPr>
          <w:t xml:space="preserve"> (</w:t>
        </w:r>
        <w:r w:rsidRPr="002C3E6C">
          <w:rPr>
            <w:rFonts w:ascii="Times New Roman" w:eastAsia="Times New Roman" w:hAnsi="Times New Roman" w:cs="Times New Roman"/>
            <w:lang w:val="uk-UA" w:eastAsia="ru-RU"/>
          </w:rPr>
          <w:t>2 рішення</w:t>
        </w:r>
        <w:r w:rsidRPr="002C3E6C">
          <w:rPr>
            <w:rFonts w:ascii="Times New Roman" w:eastAsia="Times New Roman" w:hAnsi="Times New Roman" w:cs="Times New Roman"/>
            <w:lang w:eastAsia="ru-RU"/>
          </w:rPr>
          <w:t>)</w:t>
        </w:r>
      </w:hyperlink>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w:t>
      </w:r>
      <w:hyperlink r:id="rId26" w:history="1">
        <w:r w:rsidRPr="002C3E6C">
          <w:rPr>
            <w:rFonts w:ascii="Times New Roman" w:eastAsia="Times New Roman" w:hAnsi="Times New Roman" w:cs="Times New Roman"/>
            <w:b/>
            <w:lang w:val="uk-UA" w:eastAsia="ru-RU"/>
          </w:rPr>
          <w:t>ст</w:t>
        </w:r>
        <w:r w:rsidRPr="002C3E6C">
          <w:rPr>
            <w:rFonts w:ascii="Times New Roman" w:eastAsia="Times New Roman" w:hAnsi="Times New Roman" w:cs="Times New Roman"/>
            <w:b/>
            <w:lang w:eastAsia="ru-RU"/>
          </w:rPr>
          <w:t xml:space="preserve"> 2 Протоколу № 4 “Свобода пересування”</w:t>
        </w:r>
      </w:hyperlink>
      <w:r w:rsidRPr="002C3E6C">
        <w:rPr>
          <w:rFonts w:ascii="Times New Roman" w:eastAsia="Times New Roman" w:hAnsi="Times New Roman" w:cs="Times New Roman"/>
          <w:lang w:val="uk-UA" w:eastAsia="ru-RU"/>
        </w:rPr>
        <w:t xml:space="preserve"> (3 рішення).</w:t>
      </w:r>
    </w:p>
    <w:p w:rsidR="002C3E6C" w:rsidRPr="002C3E6C" w:rsidRDefault="002C3E6C" w:rsidP="002C3E6C">
      <w:pPr>
        <w:spacing w:after="0" w:line="240" w:lineRule="auto"/>
        <w:ind w:firstLine="720"/>
        <w:jc w:val="both"/>
        <w:rPr>
          <w:rFonts w:ascii="Times New Roman" w:eastAsia="Times New Roman" w:hAnsi="Times New Roman" w:cs="Times New Roman"/>
          <w:b/>
          <w:lang w:val="uk-UA" w:eastAsia="ru-RU"/>
        </w:rPr>
      </w:pPr>
    </w:p>
    <w:p w:rsidR="002C3E6C" w:rsidRPr="002C3E6C" w:rsidRDefault="002C3E6C" w:rsidP="002C3E6C">
      <w:pPr>
        <w:spacing w:after="0" w:line="240" w:lineRule="auto"/>
        <w:ind w:firstLine="720"/>
        <w:jc w:val="both"/>
        <w:rPr>
          <w:rFonts w:ascii="Times New Roman" w:eastAsia="Times New Roman" w:hAnsi="Times New Roman" w:cs="Times New Roman"/>
          <w:b/>
          <w:lang w:val="uk-UA" w:eastAsia="ru-RU"/>
        </w:rPr>
      </w:pPr>
      <w:r w:rsidRPr="002C3E6C">
        <w:rPr>
          <w:rFonts w:ascii="Times New Roman" w:eastAsia="Times New Roman" w:hAnsi="Times New Roman" w:cs="Times New Roman"/>
          <w:b/>
          <w:lang w:val="uk-UA" w:eastAsia="ru-RU"/>
        </w:rPr>
        <w:t>Рекомендована література</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Усі міжнародно-правові акти та справи Європейського суду з прав людини можна знайти: на сайтах Верховної Ради України (zakon.rada.gov.ua), Інституту медіа права (</w:t>
      </w:r>
      <w:hyperlink r:id="rId27" w:history="1">
        <w:r w:rsidRPr="002C3E6C">
          <w:rPr>
            <w:rFonts w:ascii="Times New Roman" w:eastAsia="Times New Roman" w:hAnsi="Times New Roman" w:cs="Times New Roman"/>
            <w:lang w:val="uk-UA" w:eastAsia="ru-RU"/>
          </w:rPr>
          <w:t>http://www.medialaw.kiev.ua</w:t>
        </w:r>
      </w:hyperlink>
      <w:r w:rsidRPr="002C3E6C">
        <w:rPr>
          <w:rFonts w:ascii="Times New Roman" w:eastAsia="Times New Roman" w:hAnsi="Times New Roman" w:cs="Times New Roman"/>
          <w:lang w:val="uk-UA" w:eastAsia="ru-RU"/>
        </w:rPr>
        <w:t>), Міністерства юстиції України ((</w:t>
      </w:r>
      <w:hyperlink r:id="rId28" w:history="1">
        <w:r w:rsidRPr="002C3E6C">
          <w:rPr>
            <w:rFonts w:ascii="Times New Roman" w:eastAsia="Times New Roman" w:hAnsi="Times New Roman" w:cs="Times New Roman"/>
            <w:lang w:val="uk-UA" w:eastAsia="ru-RU"/>
          </w:rPr>
          <w:t>http://www.minjust.gov.ua</w:t>
        </w:r>
      </w:hyperlink>
      <w:r w:rsidRPr="002C3E6C">
        <w:rPr>
          <w:rFonts w:ascii="Times New Roman" w:eastAsia="Times New Roman" w:hAnsi="Times New Roman" w:cs="Times New Roman"/>
          <w:lang w:val="uk-UA" w:eastAsia="ru-RU"/>
        </w:rPr>
        <w:t xml:space="preserve">). </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Буткевич В.Г., Маляренко В. Т. Європейський суд з прав людини та українське судочинство: питання взаємодії// Вісник Верховного Суду України. – 2004. – № 4 – С. 7.</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 xml:space="preserve">Законы и практика СМИ в Европе, Америке и Австралии: Артикль ХІХ. – М.: Права человека, 1996. </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lastRenderedPageBreak/>
        <w:t>Іванов В. Ф. Журналістські права та обов’язки у світлі Європейської конвенції з прав людини // Іванов В.Ф. Законодавство про засоби маової інформації: український та зарубіжний досвід. – К.: Школяр, 1999. – С. 105-128.</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eastAsia="ru-RU"/>
        </w:rPr>
        <w:t>Кузнецова О. Д. Журналістська етика та етикет: основи теорії, методики, дослідження трансформації незалежних видань України, регулювання моральних порушень. – Л.: Світ, 1998.</w:t>
      </w:r>
      <w:r w:rsidRPr="002C3E6C">
        <w:rPr>
          <w:rFonts w:ascii="Times New Roman" w:eastAsia="Times New Roman" w:hAnsi="Times New Roman" w:cs="Times New Roman"/>
          <w:lang w:val="uk-UA" w:eastAsia="ru-RU"/>
        </w:rPr>
        <w:t xml:space="preserve"> – 412 с.</w:t>
      </w:r>
      <w:r w:rsidRPr="002C3E6C">
        <w:rPr>
          <w:rFonts w:ascii="Times New Roman" w:eastAsia="Times New Roman" w:hAnsi="Times New Roman" w:cs="Times New Roman"/>
          <w:lang w:eastAsia="ru-RU"/>
        </w:rPr>
        <w:t xml:space="preserve"> </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lang w:val="uk-UA" w:eastAsia="ru-RU"/>
        </w:rPr>
      </w:pPr>
      <w:r w:rsidRPr="002C3E6C">
        <w:rPr>
          <w:rFonts w:ascii="Times New Roman" w:eastAsia="Times New Roman" w:hAnsi="Times New Roman" w:cs="Times New Roman"/>
          <w:lang w:val="uk-UA" w:eastAsia="ru-RU"/>
        </w:rPr>
        <w:t>Кузнецова О.Д. Правові норми журналістики України: Посібник. – Львів: Видавничий центр ЛНУ ім.І.Франка, 2006. – 352 с.</w:t>
      </w:r>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bCs/>
          <w:lang w:eastAsia="ru-RU"/>
        </w:rPr>
      </w:pPr>
      <w:r w:rsidRPr="002C3E6C">
        <w:rPr>
          <w:rFonts w:ascii="Times New Roman" w:eastAsia="Times New Roman" w:hAnsi="Times New Roman" w:cs="Times New Roman"/>
          <w:lang w:val="uk-UA" w:eastAsia="ru-RU"/>
        </w:rPr>
        <w:t>Приступенко Т.О.</w:t>
      </w:r>
      <w:r w:rsidRPr="002C3E6C">
        <w:rPr>
          <w:rFonts w:ascii="Verdana" w:eastAsia="Times New Roman" w:hAnsi="Verdana" w:cs="Times New Roman"/>
          <w:lang w:eastAsia="ru-RU"/>
        </w:rPr>
        <w:t xml:space="preserve"> </w:t>
      </w:r>
      <w:r w:rsidRPr="002C3E6C">
        <w:rPr>
          <w:rFonts w:ascii="Times New Roman" w:eastAsia="Times New Roman" w:hAnsi="Times New Roman" w:cs="Times New Roman"/>
          <w:bCs/>
          <w:lang w:eastAsia="ru-RU"/>
        </w:rPr>
        <w:t>Деякі аспекти правового регулювання засобів масової інформації України</w:t>
      </w:r>
      <w:r w:rsidRPr="002C3E6C">
        <w:rPr>
          <w:rFonts w:ascii="Times New Roman" w:eastAsia="Times New Roman" w:hAnsi="Times New Roman" w:cs="Times New Roman"/>
          <w:bCs/>
          <w:lang w:val="uk-UA" w:eastAsia="ru-RU"/>
        </w:rPr>
        <w:t xml:space="preserve"> //</w:t>
      </w:r>
      <w:r w:rsidRPr="002C3E6C">
        <w:rPr>
          <w:rFonts w:ascii="Times New Roman" w:eastAsia="Times New Roman" w:hAnsi="Times New Roman" w:cs="Times New Roman"/>
          <w:lang w:eastAsia="ru-RU"/>
        </w:rPr>
        <w:t xml:space="preserve"> </w:t>
      </w:r>
      <w:hyperlink r:id="rId29" w:history="1">
        <w:r w:rsidRPr="002C3E6C">
          <w:rPr>
            <w:rFonts w:ascii="Times New Roman" w:eastAsia="Times New Roman" w:hAnsi="Times New Roman" w:cs="Times New Roman"/>
            <w:bCs/>
            <w:lang w:val="uk-UA" w:eastAsia="ru-RU"/>
          </w:rPr>
          <w:t>http://journlib.univ.kiev.ua/</w:t>
        </w:r>
      </w:hyperlink>
    </w:p>
    <w:p w:rsidR="002C3E6C" w:rsidRPr="002C3E6C" w:rsidRDefault="002C3E6C" w:rsidP="002C3E6C">
      <w:pPr>
        <w:numPr>
          <w:ilvl w:val="0"/>
          <w:numId w:val="4"/>
        </w:numPr>
        <w:tabs>
          <w:tab w:val="num" w:pos="180"/>
        </w:tabs>
        <w:spacing w:after="0" w:line="240" w:lineRule="auto"/>
        <w:ind w:left="720"/>
        <w:jc w:val="both"/>
        <w:rPr>
          <w:rFonts w:ascii="Times New Roman" w:eastAsia="Times New Roman" w:hAnsi="Times New Roman" w:cs="Times New Roman"/>
          <w:bCs/>
          <w:lang w:eastAsia="ru-RU"/>
        </w:rPr>
      </w:pPr>
      <w:r w:rsidRPr="002C3E6C">
        <w:rPr>
          <w:rFonts w:ascii="Times New Roman" w:eastAsia="Times New Roman" w:hAnsi="Times New Roman" w:cs="Times New Roman"/>
          <w:lang w:val="uk-UA" w:eastAsia="ru-RU"/>
        </w:rPr>
        <w:t xml:space="preserve">Теорія журналістики: Етичні та правові засади діяльності засобів масової інформації: Навч. посіб. </w:t>
      </w:r>
      <w:r w:rsidRPr="002C3E6C">
        <w:rPr>
          <w:rFonts w:ascii="Times New Roman" w:eastAsia="Times New Roman" w:hAnsi="Times New Roman" w:cs="Times New Roman"/>
          <w:lang w:eastAsia="ru-RU"/>
        </w:rPr>
        <w:t xml:space="preserve">Рекомендовано МОН / Приступенко Т.О. </w:t>
      </w:r>
      <w:r w:rsidRPr="002C3E6C">
        <w:rPr>
          <w:rFonts w:ascii="Times New Roman" w:eastAsia="Times New Roman" w:hAnsi="Times New Roman" w:cs="Times New Roman"/>
          <w:lang w:val="uk-UA" w:eastAsia="ru-RU"/>
        </w:rPr>
        <w:t>–</w:t>
      </w:r>
      <w:r w:rsidRPr="002C3E6C">
        <w:rPr>
          <w:rFonts w:ascii="Times New Roman" w:eastAsia="Times New Roman" w:hAnsi="Times New Roman" w:cs="Times New Roman"/>
          <w:lang w:eastAsia="ru-RU"/>
        </w:rPr>
        <w:t xml:space="preserve"> К., 2011. </w:t>
      </w:r>
      <w:r w:rsidRPr="002C3E6C">
        <w:rPr>
          <w:rFonts w:ascii="Times New Roman" w:eastAsia="Times New Roman" w:hAnsi="Times New Roman" w:cs="Times New Roman"/>
          <w:lang w:val="uk-UA" w:eastAsia="ru-RU"/>
        </w:rPr>
        <w:t xml:space="preserve">– </w:t>
      </w:r>
      <w:r w:rsidRPr="002C3E6C">
        <w:rPr>
          <w:rFonts w:ascii="Times New Roman" w:eastAsia="Times New Roman" w:hAnsi="Times New Roman" w:cs="Times New Roman"/>
          <w:lang w:eastAsia="ru-RU"/>
        </w:rPr>
        <w:t>351 с</w:t>
      </w:r>
    </w:p>
    <w:p w:rsidR="00D3079D" w:rsidRDefault="00D3079D">
      <w:bookmarkStart w:id="0" w:name="_GoBack"/>
      <w:bookmarkEnd w:id="0"/>
    </w:p>
    <w:sectPr w:rsidR="00D3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E8B"/>
    <w:multiLevelType w:val="hybridMultilevel"/>
    <w:tmpl w:val="3DF08EC0"/>
    <w:lvl w:ilvl="0" w:tplc="0FE05306">
      <w:start w:val="1"/>
      <w:numFmt w:val="decimal"/>
      <w:lvlText w:val="%1."/>
      <w:lvlJc w:val="left"/>
      <w:pPr>
        <w:tabs>
          <w:tab w:val="num" w:pos="360"/>
        </w:tabs>
        <w:ind w:left="360" w:hanging="360"/>
      </w:pPr>
      <w:rPr>
        <w:rFonts w:hint="default"/>
        <w:color w:val="auto"/>
      </w:rPr>
    </w:lvl>
    <w:lvl w:ilvl="1" w:tplc="946C563C">
      <w:numFmt w:val="none"/>
      <w:lvlText w:val=""/>
      <w:lvlJc w:val="left"/>
      <w:pPr>
        <w:tabs>
          <w:tab w:val="num" w:pos="-360"/>
        </w:tabs>
      </w:pPr>
    </w:lvl>
    <w:lvl w:ilvl="2" w:tplc="91C4A058">
      <w:numFmt w:val="none"/>
      <w:lvlText w:val=""/>
      <w:lvlJc w:val="left"/>
      <w:pPr>
        <w:tabs>
          <w:tab w:val="num" w:pos="-360"/>
        </w:tabs>
      </w:pPr>
    </w:lvl>
    <w:lvl w:ilvl="3" w:tplc="CC10333E">
      <w:numFmt w:val="none"/>
      <w:lvlText w:val=""/>
      <w:lvlJc w:val="left"/>
      <w:pPr>
        <w:tabs>
          <w:tab w:val="num" w:pos="-360"/>
        </w:tabs>
      </w:pPr>
    </w:lvl>
    <w:lvl w:ilvl="4" w:tplc="5F92F5FE">
      <w:numFmt w:val="none"/>
      <w:lvlText w:val=""/>
      <w:lvlJc w:val="left"/>
      <w:pPr>
        <w:tabs>
          <w:tab w:val="num" w:pos="-360"/>
        </w:tabs>
      </w:pPr>
    </w:lvl>
    <w:lvl w:ilvl="5" w:tplc="A89840B0">
      <w:numFmt w:val="none"/>
      <w:lvlText w:val=""/>
      <w:lvlJc w:val="left"/>
      <w:pPr>
        <w:tabs>
          <w:tab w:val="num" w:pos="-360"/>
        </w:tabs>
      </w:pPr>
    </w:lvl>
    <w:lvl w:ilvl="6" w:tplc="2222D39C">
      <w:numFmt w:val="none"/>
      <w:lvlText w:val=""/>
      <w:lvlJc w:val="left"/>
      <w:pPr>
        <w:tabs>
          <w:tab w:val="num" w:pos="-360"/>
        </w:tabs>
      </w:pPr>
    </w:lvl>
    <w:lvl w:ilvl="7" w:tplc="B66A7034">
      <w:numFmt w:val="none"/>
      <w:lvlText w:val=""/>
      <w:lvlJc w:val="left"/>
      <w:pPr>
        <w:tabs>
          <w:tab w:val="num" w:pos="-360"/>
        </w:tabs>
      </w:pPr>
    </w:lvl>
    <w:lvl w:ilvl="8" w:tplc="1A4ACED6">
      <w:numFmt w:val="none"/>
      <w:lvlText w:val=""/>
      <w:lvlJc w:val="left"/>
      <w:pPr>
        <w:tabs>
          <w:tab w:val="num" w:pos="-360"/>
        </w:tabs>
      </w:pPr>
    </w:lvl>
  </w:abstractNum>
  <w:abstractNum w:abstractNumId="1">
    <w:nsid w:val="214E6BD4"/>
    <w:multiLevelType w:val="hybridMultilevel"/>
    <w:tmpl w:val="09B232B8"/>
    <w:lvl w:ilvl="0" w:tplc="0FE05306">
      <w:start w:val="1"/>
      <w:numFmt w:val="decimal"/>
      <w:lvlText w:val="%1."/>
      <w:lvlJc w:val="left"/>
      <w:pPr>
        <w:tabs>
          <w:tab w:val="num" w:pos="1800"/>
        </w:tabs>
        <w:ind w:left="1800" w:hanging="36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4A36410C"/>
    <w:multiLevelType w:val="hybridMultilevel"/>
    <w:tmpl w:val="69F6902E"/>
    <w:lvl w:ilvl="0" w:tplc="0419000F">
      <w:start w:val="1"/>
      <w:numFmt w:val="decimal"/>
      <w:lvlText w:val="%1."/>
      <w:lvlJc w:val="left"/>
      <w:pPr>
        <w:tabs>
          <w:tab w:val="num" w:pos="720"/>
        </w:tabs>
        <w:ind w:left="720" w:hanging="360"/>
      </w:pPr>
      <w:rPr>
        <w:rFonts w:hint="default"/>
      </w:rPr>
    </w:lvl>
    <w:lvl w:ilvl="1" w:tplc="60B21F0C">
      <w:start w:val="1"/>
      <w:numFmt w:val="decimal"/>
      <w:lvlText w:val="%2."/>
      <w:lvlJc w:val="left"/>
      <w:pPr>
        <w:tabs>
          <w:tab w:val="num" w:pos="1440"/>
        </w:tabs>
        <w:ind w:left="1440" w:hanging="360"/>
      </w:pPr>
      <w:rPr>
        <w:rFonts w:hint="default"/>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A7DEE"/>
    <w:multiLevelType w:val="hybridMultilevel"/>
    <w:tmpl w:val="BD8C353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6C"/>
    <w:rsid w:val="002C3E6C"/>
    <w:rsid w:val="00D3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BED10-9D0C-4B4E-9726-5B3B2978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aw.kiev.ua/laws/laws_international/77/" TargetMode="External"/><Relationship Id="rId13" Type="http://schemas.openxmlformats.org/officeDocument/2006/relationships/hyperlink" Target="http://www.minjust.gov.ua/0/19613" TargetMode="External"/><Relationship Id="rId18" Type="http://schemas.openxmlformats.org/officeDocument/2006/relationships/hyperlink" Target="http://www.minjust.gov.ua/0/19620" TargetMode="External"/><Relationship Id="rId26" Type="http://schemas.openxmlformats.org/officeDocument/2006/relationships/hyperlink" Target="http://www.minjust.gov.ua/0/20937" TargetMode="External"/><Relationship Id="rId3" Type="http://schemas.openxmlformats.org/officeDocument/2006/relationships/settings" Target="settings.xml"/><Relationship Id="rId21" Type="http://schemas.openxmlformats.org/officeDocument/2006/relationships/hyperlink" Target="http://www.minjust.gov.ua/0/19622" TargetMode="External"/><Relationship Id="rId7" Type="http://schemas.openxmlformats.org/officeDocument/2006/relationships/hyperlink" Target="http://www.medialaw.kiev.ua/laws/laws_international/25/" TargetMode="External"/><Relationship Id="rId12" Type="http://schemas.openxmlformats.org/officeDocument/2006/relationships/hyperlink" Target="http://www.minjust.gov.ua" TargetMode="External"/><Relationship Id="rId17" Type="http://schemas.openxmlformats.org/officeDocument/2006/relationships/hyperlink" Target="http://www.minjust.gov.ua/0/19619" TargetMode="External"/><Relationship Id="rId25" Type="http://schemas.openxmlformats.org/officeDocument/2006/relationships/hyperlink" Target="http://www.minjust.gov.ua/0/19625" TargetMode="External"/><Relationship Id="rId2" Type="http://schemas.openxmlformats.org/officeDocument/2006/relationships/styles" Target="styles.xml"/><Relationship Id="rId16" Type="http://schemas.openxmlformats.org/officeDocument/2006/relationships/hyperlink" Target="http://www.minjust.gov.ua/0/19618" TargetMode="External"/><Relationship Id="rId20" Type="http://schemas.openxmlformats.org/officeDocument/2006/relationships/hyperlink" Target="http://www.minjust.gov.ua/0/24530" TargetMode="External"/><Relationship Id="rId29" Type="http://schemas.openxmlformats.org/officeDocument/2006/relationships/hyperlink" Target="http://journlib.univ.kiev.ua/" TargetMode="External"/><Relationship Id="rId1" Type="http://schemas.openxmlformats.org/officeDocument/2006/relationships/numbering" Target="numbering.xml"/><Relationship Id="rId6" Type="http://schemas.openxmlformats.org/officeDocument/2006/relationships/hyperlink" Target="http://www.medialaw.kiev.ua/laws/laws_international/27/" TargetMode="External"/><Relationship Id="rId11" Type="http://schemas.openxmlformats.org/officeDocument/2006/relationships/hyperlink" Target="http://uk.wikipedia.org/wiki/%D0%9A%D0%B0%D1%82%D0%B5%D0%B3%D0%BE%D1%80%D1%96%D1%8F:%D0%9E%D0%BC%D0%B1%D1%83%D0%B4%D1%81%D0%BC%D0%B5%D0%BD%D0%B8" TargetMode="External"/><Relationship Id="rId24" Type="http://schemas.openxmlformats.org/officeDocument/2006/relationships/hyperlink" Target="http://www.minjust.gov.ua/0/19624" TargetMode="External"/><Relationship Id="rId5" Type="http://schemas.openxmlformats.org/officeDocument/2006/relationships/hyperlink" Target="http://www.medialaw.kiev.ua/laws/laws_international/98/" TargetMode="External"/><Relationship Id="rId15" Type="http://schemas.openxmlformats.org/officeDocument/2006/relationships/hyperlink" Target="http://www.minjust.gov.ua/0/19615" TargetMode="External"/><Relationship Id="rId23" Type="http://schemas.openxmlformats.org/officeDocument/2006/relationships/hyperlink" Target="http://www.minjust.gov.ua/0/19623" TargetMode="External"/><Relationship Id="rId28" Type="http://schemas.openxmlformats.org/officeDocument/2006/relationships/hyperlink" Target="http://www.minjust.gov.ua" TargetMode="External"/><Relationship Id="rId10" Type="http://schemas.openxmlformats.org/officeDocument/2006/relationships/hyperlink" Target="http://www.medialaw.kiev.ua/laws/laws_international/50/" TargetMode="External"/><Relationship Id="rId19" Type="http://schemas.openxmlformats.org/officeDocument/2006/relationships/hyperlink" Target="http://www.minjust.gov.ua/0/196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alaw.kiev.ua/laws/laws_international/49/" TargetMode="External"/><Relationship Id="rId14" Type="http://schemas.openxmlformats.org/officeDocument/2006/relationships/hyperlink" Target="http://www.minjust.gov.ua/0/19614" TargetMode="External"/><Relationship Id="rId22" Type="http://schemas.openxmlformats.org/officeDocument/2006/relationships/hyperlink" Target="http://www.minjust.gov.ua/0/32719" TargetMode="External"/><Relationship Id="rId27" Type="http://schemas.openxmlformats.org/officeDocument/2006/relationships/hyperlink" Target="http://www.medialaw.kiev.u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2021-02-01T02:48:00Z</dcterms:created>
  <dcterms:modified xsi:type="dcterms:W3CDTF">2021-02-01T02:48:00Z</dcterms:modified>
</cp:coreProperties>
</file>